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0C90">
        <w:rPr>
          <w:rFonts w:ascii="Arial" w:hAnsi="Arial" w:cs="Arial"/>
          <w:b/>
          <w:sz w:val="24"/>
          <w:szCs w:val="24"/>
        </w:rPr>
        <w:t>ZADARSKA ŽUPANIJA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Osnovna škola Nikole Tesle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Školska ul.12, 23440 Gračac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RKP: 21254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Matični broj: 03312194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OIB: 22252625411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Oznaka razine: 31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Razdjel: 030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Šifra općine/grada: 1317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Osnovna škola Nikole Tesle u Gračacu posluje u skladu sa Zakonom o odgoju i obrazovanju u osnovnoj i srednjoj školi te statutom škole. Proračunsko računovodstvo vodi na temelju Pravilnika o proračunskom računovodstvu i računskom planu, a u skladu sa odredbama Pravilnika o financijskom izvještavanju u proračunskom računovodstvu sastavlja i predaje financijske izvještaje.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 xml:space="preserve">Financijski izvještaji predaju se u skladu s Okružnicom Ministarstva financija o sastavljanju, konsolidaciji i predaji financijskih izvještaja proračuna, proračunskih /izvanproračunskih korisnika državnog proračuna te proračunskih/izvanproračunskih korisnika proračuna jedinica lokalne i područne (regionalne) samouprave za razdoblje od 01. siječnja do </w:t>
      </w:r>
      <w:r>
        <w:rPr>
          <w:rFonts w:ascii="Arial" w:hAnsi="Arial" w:cs="Arial"/>
          <w:sz w:val="24"/>
          <w:szCs w:val="24"/>
        </w:rPr>
        <w:t>30. lipnja 2024.</w:t>
      </w:r>
      <w:r w:rsidRPr="00150C90">
        <w:rPr>
          <w:rFonts w:ascii="Arial" w:hAnsi="Arial" w:cs="Arial"/>
          <w:sz w:val="24"/>
          <w:szCs w:val="24"/>
        </w:rPr>
        <w:t xml:space="preserve"> godine, KLASA: 400-02/2</w:t>
      </w:r>
      <w:r>
        <w:rPr>
          <w:rFonts w:ascii="Arial" w:hAnsi="Arial" w:cs="Arial"/>
          <w:sz w:val="24"/>
          <w:szCs w:val="24"/>
        </w:rPr>
        <w:t>4-01/19, URBROJ: 513-05-03-24-2</w:t>
      </w:r>
      <w:r w:rsidRPr="00150C90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01.srpnja 2024. godine.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C90" w:rsidRDefault="00150C90" w:rsidP="00150C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0C90">
        <w:rPr>
          <w:rFonts w:ascii="Arial" w:hAnsi="Arial" w:cs="Arial"/>
          <w:b/>
          <w:sz w:val="24"/>
          <w:szCs w:val="24"/>
        </w:rPr>
        <w:t>Bilješke uz Izvještaj o prihodima i rashodima, primicima i izdacima</w:t>
      </w:r>
    </w:p>
    <w:p w:rsidR="00150C90" w:rsidRDefault="00150C90" w:rsidP="00150C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Konto 636 – Pomoći proračunskim korisnicima iz proračuna koji im nije nadležan</w:t>
      </w:r>
    </w:p>
    <w:p w:rsidR="00150C90" w:rsidRDefault="00150C90" w:rsidP="00150C90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Dolazi do povećanja</w:t>
      </w:r>
      <w:r>
        <w:rPr>
          <w:rFonts w:ascii="Arial" w:hAnsi="Arial" w:cs="Arial"/>
          <w:sz w:val="24"/>
          <w:szCs w:val="24"/>
        </w:rPr>
        <w:t xml:space="preserve"> iz razloga što je tijekom 2024. godine povećana plaća zaposlenika kao i ostali rashodi za zaposlene u odnosu na 2023. godine. Također, tijekom 2024. godine Ministarstvo je doznačilo sredstva za prehranu svih učenika u školi čime je dodatno povećan iznos ovog konta.</w:t>
      </w:r>
    </w:p>
    <w:p w:rsid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538F">
        <w:rPr>
          <w:rFonts w:ascii="Arial" w:hAnsi="Arial" w:cs="Arial"/>
          <w:b/>
          <w:sz w:val="24"/>
          <w:szCs w:val="24"/>
        </w:rPr>
        <w:lastRenderedPageBreak/>
        <w:t>Konto 639 – Prijenosi između proračunskih korisnika istog proračuna</w:t>
      </w:r>
      <w:r>
        <w:rPr>
          <w:rFonts w:ascii="Arial" w:hAnsi="Arial" w:cs="Arial"/>
          <w:sz w:val="24"/>
          <w:szCs w:val="24"/>
        </w:rPr>
        <w:t xml:space="preserve"> – Iako su se isprva Pomoćnici u nastavi financirali prema izvoru EU projekta, isti iznosi su </w:t>
      </w:r>
      <w:r w:rsidR="008F538F">
        <w:rPr>
          <w:rFonts w:ascii="Arial" w:hAnsi="Arial" w:cs="Arial"/>
          <w:sz w:val="24"/>
          <w:szCs w:val="24"/>
        </w:rPr>
        <w:t>proknjiženi</w:t>
      </w:r>
      <w:r>
        <w:rPr>
          <w:rFonts w:ascii="Arial" w:hAnsi="Arial" w:cs="Arial"/>
          <w:sz w:val="24"/>
          <w:szCs w:val="24"/>
        </w:rPr>
        <w:t xml:space="preserve"> na županijski izvor. Iznos od 952,39 odnosi se na tekuće prijenose proračunskih korisnika istog proračuna temeljem prijenosa EU sredstava odnosno na povrat sredstava po projektu Poduzmi u koji je škola bila uključena nakon podmirenja </w:t>
      </w:r>
      <w:r w:rsidR="008F538F">
        <w:rPr>
          <w:rFonts w:ascii="Arial" w:hAnsi="Arial" w:cs="Arial"/>
          <w:sz w:val="24"/>
          <w:szCs w:val="24"/>
        </w:rPr>
        <w:t>obveza prema županiji za predfinanciranje projekta iz prethodne godine.</w:t>
      </w:r>
    </w:p>
    <w:p w:rsidR="008F538F" w:rsidRDefault="008F538F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538F">
        <w:rPr>
          <w:rFonts w:ascii="Arial" w:hAnsi="Arial" w:cs="Arial"/>
          <w:b/>
          <w:sz w:val="24"/>
          <w:szCs w:val="24"/>
        </w:rPr>
        <w:t>Konto 661 – Prihodi od prodaje proizvoda i roba te pruženih usluga</w:t>
      </w:r>
      <w:r>
        <w:rPr>
          <w:rFonts w:ascii="Arial" w:hAnsi="Arial" w:cs="Arial"/>
          <w:sz w:val="24"/>
          <w:szCs w:val="24"/>
        </w:rPr>
        <w:t xml:space="preserve"> – do povećanja dolazi iz razloga što je škola iznajmljivala prostor dvorane za sportske aktivnosti grupama.</w:t>
      </w:r>
    </w:p>
    <w:p w:rsidR="008F538F" w:rsidRDefault="008F538F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538F">
        <w:rPr>
          <w:rFonts w:ascii="Arial" w:hAnsi="Arial" w:cs="Arial"/>
          <w:b/>
          <w:sz w:val="24"/>
          <w:szCs w:val="24"/>
        </w:rPr>
        <w:t>Konto 671 – Prihodi iz nadležnog proračuna za financiranje rashoda poslovanja</w:t>
      </w:r>
      <w:r>
        <w:rPr>
          <w:rFonts w:ascii="Arial" w:hAnsi="Arial" w:cs="Arial"/>
          <w:sz w:val="24"/>
          <w:szCs w:val="24"/>
        </w:rPr>
        <w:t xml:space="preserve"> – povećani su prohodi poslovanja tijekom prvih šest mjeseci tekuće godine iz razloga što su iz prethodne godine plaćeni određeni rashodi kao i zbog činjenice da je uvećan iznos usluge prijevoznicima za prijevoz učenika u odnosu na isto razdoblje prethodne godine.</w:t>
      </w:r>
    </w:p>
    <w:p w:rsidR="008F538F" w:rsidRDefault="008F538F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538F">
        <w:rPr>
          <w:rFonts w:ascii="Arial" w:hAnsi="Arial" w:cs="Arial"/>
          <w:b/>
          <w:sz w:val="24"/>
          <w:szCs w:val="24"/>
        </w:rPr>
        <w:t>Konto 311 – Plaće, Konto 312 – Ostali rashodi za zaposlene, Konto 313 – Doprinosi na plaće</w:t>
      </w:r>
      <w:r>
        <w:rPr>
          <w:rFonts w:ascii="Arial" w:hAnsi="Arial" w:cs="Arial"/>
          <w:sz w:val="24"/>
          <w:szCs w:val="24"/>
        </w:rPr>
        <w:t xml:space="preserve"> – dolazi do povećanja rashoda zbog povećanja plaća zaposlenih. </w:t>
      </w:r>
    </w:p>
    <w:p w:rsidR="008F538F" w:rsidRDefault="004F2C0D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C0D">
        <w:rPr>
          <w:rFonts w:ascii="Arial" w:hAnsi="Arial" w:cs="Arial"/>
          <w:b/>
          <w:sz w:val="24"/>
          <w:szCs w:val="24"/>
        </w:rPr>
        <w:t xml:space="preserve">Konto 321 – Službena putovanja </w:t>
      </w:r>
      <w:r>
        <w:rPr>
          <w:rFonts w:ascii="Arial" w:hAnsi="Arial" w:cs="Arial"/>
          <w:b/>
          <w:sz w:val="24"/>
          <w:szCs w:val="24"/>
        </w:rPr>
        <w:t>–</w:t>
      </w:r>
      <w:r w:rsidRPr="004F2C0D">
        <w:rPr>
          <w:rFonts w:ascii="Arial" w:hAnsi="Arial" w:cs="Arial"/>
          <w:sz w:val="24"/>
          <w:szCs w:val="24"/>
        </w:rPr>
        <w:t xml:space="preserve"> veći</w:t>
      </w:r>
      <w:r>
        <w:rPr>
          <w:rFonts w:ascii="Arial" w:hAnsi="Arial" w:cs="Arial"/>
          <w:sz w:val="24"/>
          <w:szCs w:val="24"/>
        </w:rPr>
        <w:t xml:space="preserve"> broj zaposlenika upućen na službeni put.</w:t>
      </w:r>
    </w:p>
    <w:p w:rsidR="004F2C0D" w:rsidRDefault="004F2C0D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C0D">
        <w:rPr>
          <w:rFonts w:ascii="Arial" w:hAnsi="Arial" w:cs="Arial"/>
          <w:b/>
          <w:sz w:val="24"/>
          <w:szCs w:val="24"/>
        </w:rPr>
        <w:t>Konto 329 – Ostali nespomenuti rashodi poslovanja</w:t>
      </w:r>
      <w:r>
        <w:rPr>
          <w:rFonts w:ascii="Arial" w:hAnsi="Arial" w:cs="Arial"/>
          <w:sz w:val="24"/>
          <w:szCs w:val="24"/>
        </w:rPr>
        <w:t xml:space="preserve"> – Plaćene su premije osiguranja dok prethodne godine u ovom razdoblju nisu bile, uneseno je više članarina zbog pristupanja novim udrugama, Pristojbe i naknade se prethodne godine prvih nekoliko mjeseci nisu plaćali zbog pretplate, troškovi sudskih postupaka postoje zbog sudske presude koja je isplaćena u razdoblju na koje se ovaj izvještaj odnosi </w:t>
      </w:r>
    </w:p>
    <w:p w:rsidR="004F2C0D" w:rsidRDefault="004F2C0D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2C0D">
        <w:rPr>
          <w:rFonts w:ascii="Arial" w:hAnsi="Arial" w:cs="Arial"/>
          <w:b/>
          <w:sz w:val="24"/>
          <w:szCs w:val="24"/>
        </w:rPr>
        <w:t>Konto 424 – Knjige, umjetnička djela i ostale izložbene vrijednosti</w:t>
      </w:r>
      <w:r>
        <w:rPr>
          <w:rFonts w:ascii="Arial" w:hAnsi="Arial" w:cs="Arial"/>
          <w:sz w:val="24"/>
          <w:szCs w:val="24"/>
        </w:rPr>
        <w:t xml:space="preserve"> – Unesene su i plaćene obveze dobavlja</w:t>
      </w:r>
      <w:r w:rsidR="008466ED">
        <w:rPr>
          <w:rFonts w:ascii="Arial" w:hAnsi="Arial" w:cs="Arial"/>
          <w:sz w:val="24"/>
          <w:szCs w:val="24"/>
        </w:rPr>
        <w:t xml:space="preserve">ču za nabavu udžbenika iz prethodne godine. </w:t>
      </w:r>
    </w:p>
    <w:p w:rsidR="008466ED" w:rsidRDefault="008466ED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66ED" w:rsidRPr="008466ED" w:rsidRDefault="008466ED" w:rsidP="00150C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66ED">
        <w:rPr>
          <w:rFonts w:ascii="Arial" w:hAnsi="Arial" w:cs="Arial"/>
          <w:b/>
          <w:sz w:val="24"/>
          <w:szCs w:val="24"/>
        </w:rPr>
        <w:t>Bilješke uz Izvještaj o obvezama</w:t>
      </w:r>
    </w:p>
    <w:p w:rsidR="008466ED" w:rsidRPr="004F2C0D" w:rsidRDefault="008466ED" w:rsidP="00150C9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2024. godini isplaćena je jedna sudska presuda za koju su doznačena sredstva iz Ministarstva. U tablici prikazanoj ispod navedeni su pojedinačno troškovi koji su isplaćeni na temelju sudske presude. </w:t>
      </w: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C90" w:rsidRPr="00150C90" w:rsidRDefault="008466ED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66ED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6E78B7DC" wp14:editId="7E63B4B7">
            <wp:extent cx="5760720" cy="420433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C90" w:rsidRPr="00150C90" w:rsidRDefault="00181C04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Zbog iznosa povećanih kamata od Ministarstva su tražena još dodatna sredstva za pokriće ukupnih troškova koja su i doznačena u sedmom mjesecu, ali koja kao doznačena ne ulaze u izvještaj za razdoblje 1.-6.2024. godine.</w:t>
      </w:r>
      <w:bookmarkStart w:id="0" w:name="_GoBack"/>
      <w:bookmarkEnd w:id="0"/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C90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>Voditelj računovodstva</w:t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  <w:t>Zakonski predstavnik:</w:t>
      </w:r>
    </w:p>
    <w:p w:rsidR="009B4F03" w:rsidRPr="00150C90" w:rsidRDefault="00150C90" w:rsidP="00150C9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C90">
        <w:rPr>
          <w:rFonts w:ascii="Arial" w:hAnsi="Arial" w:cs="Arial"/>
          <w:sz w:val="24"/>
          <w:szCs w:val="24"/>
        </w:rPr>
        <w:t xml:space="preserve">Antonela Miletić, </w:t>
      </w:r>
      <w:proofErr w:type="spellStart"/>
      <w:r w:rsidRPr="00150C90">
        <w:rPr>
          <w:rFonts w:ascii="Arial" w:hAnsi="Arial" w:cs="Arial"/>
          <w:sz w:val="24"/>
          <w:szCs w:val="24"/>
        </w:rPr>
        <w:t>mag.oec</w:t>
      </w:r>
      <w:proofErr w:type="spellEnd"/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</w:r>
      <w:r w:rsidRPr="00150C90">
        <w:rPr>
          <w:rFonts w:ascii="Arial" w:hAnsi="Arial" w:cs="Arial"/>
          <w:sz w:val="24"/>
          <w:szCs w:val="24"/>
        </w:rPr>
        <w:tab/>
        <w:t xml:space="preserve">Slavica </w:t>
      </w:r>
      <w:proofErr w:type="spellStart"/>
      <w:r w:rsidRPr="00150C90">
        <w:rPr>
          <w:rFonts w:ascii="Arial" w:hAnsi="Arial" w:cs="Arial"/>
          <w:sz w:val="24"/>
          <w:szCs w:val="24"/>
        </w:rPr>
        <w:t>Miočić</w:t>
      </w:r>
      <w:proofErr w:type="spellEnd"/>
      <w:r w:rsidRPr="00150C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50C90">
        <w:rPr>
          <w:rFonts w:ascii="Arial" w:hAnsi="Arial" w:cs="Arial"/>
          <w:sz w:val="24"/>
          <w:szCs w:val="24"/>
        </w:rPr>
        <w:t>dipl.ing</w:t>
      </w:r>
      <w:proofErr w:type="spellEnd"/>
      <w:r w:rsidRPr="00150C90">
        <w:rPr>
          <w:rFonts w:ascii="Arial" w:hAnsi="Arial" w:cs="Arial"/>
          <w:sz w:val="24"/>
          <w:szCs w:val="24"/>
        </w:rPr>
        <w:t>.</w:t>
      </w:r>
    </w:p>
    <w:sectPr w:rsidR="009B4F03" w:rsidRPr="0015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47E"/>
    <w:multiLevelType w:val="hybridMultilevel"/>
    <w:tmpl w:val="0ECE6F34"/>
    <w:lvl w:ilvl="0" w:tplc="0AC6A7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64401"/>
    <w:multiLevelType w:val="hybridMultilevel"/>
    <w:tmpl w:val="F08CCE96"/>
    <w:lvl w:ilvl="0" w:tplc="926A8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90"/>
    <w:rsid w:val="00150C90"/>
    <w:rsid w:val="00181C04"/>
    <w:rsid w:val="004F2C0D"/>
    <w:rsid w:val="008466ED"/>
    <w:rsid w:val="008F538F"/>
    <w:rsid w:val="009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3E58"/>
  <w15:chartTrackingRefBased/>
  <w15:docId w15:val="{760D1118-A359-42B5-90F6-E90F5454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0C90"/>
    <w:pPr>
      <w:ind w:left="720"/>
      <w:contextualSpacing/>
    </w:pPr>
  </w:style>
  <w:style w:type="table" w:styleId="Reetkatablice">
    <w:name w:val="Table Grid"/>
    <w:basedOn w:val="Obinatablica"/>
    <w:uiPriority w:val="39"/>
    <w:rsid w:val="0084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Miletić</dc:creator>
  <cp:keywords/>
  <dc:description/>
  <cp:lastModifiedBy>Antonela Miletić</cp:lastModifiedBy>
  <cp:revision>1</cp:revision>
  <dcterms:created xsi:type="dcterms:W3CDTF">2024-07-08T09:25:00Z</dcterms:created>
  <dcterms:modified xsi:type="dcterms:W3CDTF">2024-07-08T10:10:00Z</dcterms:modified>
</cp:coreProperties>
</file>