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  <w:lang w:val="en-US"/>
        </w:rPr>
        <w:drawing>
          <wp:inline>
            <wp:extent cx="476250" cy="560402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2" w:name="_Hlk128748807"/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NIKOLE TESLE GRAČAC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Školska 12, 23440 Gračac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400-02/23-01/2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URBROJ: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 xml:space="preserve">2198-1-28-23-1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Gračac,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25. listopada 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2023.g. </w:t>
            </w:r>
          </w:p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/>
        <w:rPr/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RKDP: 21254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Razina: 31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Matični broj: 03312194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Šifra djel.:8520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22252625411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Razdjel: 030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>
      <w:pPr>
        <w:spacing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OBRAZLOŽENJE FINANCIJSKOG PLANA ZA 2024. GODINU TE PROJEKCIJA ZA 2025. I 2026. GODINU</w:t>
      </w:r>
    </w:p>
    <w:p>
      <w:pPr>
        <w:spacing/>
        <w:jc w:val="both"/>
        <w:rPr/>
      </w:pPr>
    </w:p>
    <w:p>
      <w:pPr>
        <w: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UPRAVNI ODJEL ZA OBRAZOVANJE, KULTURU I ŠPORT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članka 105, Zakona o osnovnom školstvu (Narodne novine, broj 59/90., 27/93., 7/96., 59/2001 i 114/2001. točke 1.), odluke Vlade Republike Hrvatske (Klasa: 602-02/01-01/01; Urbroj: 5030108-02-12) od 24. siječnja 2002. godine te odluke Ministarstva  prosvjete i športa (Klasa: 602-02/02-01/162; Urbroj:532/01-02-1) od 20. veljače 2002. godine Zadarska županija postaje osnivačem Osnovne škole Nikole Tesle u Gračacu.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Škola je pravni slijednik društvene pravne osobe Osnovna škola „Nikola Tesla“ - Gračac,  koju je osnovala Skupština Općine Gračac svojom Odlukom br. 05-6981/1-1962  od 7. lipnja 1962. godine i koja je upisana u sudski registar Okružnog privrednog suda u Karlovcu, reg. Uložak broj 116 pod oznakom i rednim brojem upisnika US-84/73 L1 od 24. prosinca 1973. godine i upisnika broj: US-23/77 od 10. lipnja 1977. godine.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Puni naziv škole je Osnovna škola Nikole Tesle čije je sjedište u Gračacu, Školska ul. 12. Škola u svom sastavu ima područni odjel u Srbu te je upisana u sudski registar Trgovačkog suda u Zadru. Škola se upisuje i u upisnik ustanova koje provode odgoj i osnovno obrazovanje, a koji je ustrojen u Ministarstvu znanosti, obrazovanja i športa (u nastavku: Ministarstvo).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Nastava je organizirana u jutarnjoj smjeni. Svi oblici nastave; redovna, izborna, dodatna i dopunska, izvode se sukladno nastavnim planovima i programima koje je donijelo Ministarstvo znanosti i obrazovanja, sukladno Godišnjem planu i programu </w:t>
      </w:r>
      <w:r>
        <w:rPr>
          <w:rFonts w:ascii="Arial" w:hAnsi="Arial" w:cs="Arial"/>
          <w:sz w:val="24"/>
          <w:szCs w:val="24"/>
        </w:rPr>
        <w:t xml:space="preserve">rada škole za školsku godinu 2023./2024. te prema školskom kurikulumu za školsku godinu 2023./2024.</w:t>
      </w:r>
    </w:p>
    <w:p>
      <w:pPr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školskoj godini 2023./2024</w:t>
      </w:r>
      <w:r>
        <w:rPr>
          <w:rFonts w:ascii="Arial" w:hAnsi="Arial" w:cs="Arial"/>
          <w:sz w:val="24"/>
          <w:szCs w:val="24"/>
        </w:rPr>
        <w:t xml:space="preserve">. u školi je zaposl</w:t>
      </w:r>
      <w:r>
        <w:rPr>
          <w:rFonts w:ascii="Arial" w:hAnsi="Arial" w:cs="Arial"/>
          <w:sz w:val="24"/>
          <w:szCs w:val="24"/>
        </w:rPr>
        <w:t xml:space="preserve">eno oko 50 zaposlenika od čega 3</w:t>
      </w:r>
      <w:r>
        <w:rPr>
          <w:rFonts w:ascii="Arial" w:hAnsi="Arial" w:cs="Arial"/>
          <w:sz w:val="24"/>
          <w:szCs w:val="24"/>
        </w:rPr>
        <w:t xml:space="preserve"> pomoćnika u nastavi, ravnatelj, tajnik, v</w:t>
      </w:r>
      <w:r>
        <w:rPr>
          <w:rFonts w:ascii="Arial" w:hAnsi="Arial" w:cs="Arial"/>
          <w:sz w:val="24"/>
          <w:szCs w:val="24"/>
        </w:rPr>
        <w:t xml:space="preserve">oditelj računovodstva, pedagog, psiholog, </w:t>
      </w:r>
      <w:r>
        <w:rPr>
          <w:rFonts w:ascii="Arial" w:hAnsi="Arial" w:cs="Arial"/>
          <w:sz w:val="24"/>
          <w:szCs w:val="24"/>
        </w:rPr>
        <w:t xml:space="preserve">knjižničar, domar, kuharica</w:t>
      </w:r>
      <w:r>
        <w:rPr>
          <w:rFonts w:ascii="Arial" w:hAnsi="Arial" w:cs="Arial"/>
          <w:sz w:val="24"/>
          <w:szCs w:val="24"/>
        </w:rPr>
        <w:t xml:space="preserve"> i pomoćna kuharica te</w:t>
      </w:r>
      <w:r>
        <w:rPr>
          <w:rFonts w:ascii="Arial" w:hAnsi="Arial" w:cs="Arial"/>
          <w:sz w:val="24"/>
          <w:szCs w:val="24"/>
        </w:rPr>
        <w:t xml:space="preserve"> 6 spremačica d</w:t>
      </w:r>
      <w:r>
        <w:rPr>
          <w:rFonts w:ascii="Arial" w:hAnsi="Arial" w:cs="Arial"/>
          <w:sz w:val="24"/>
          <w:szCs w:val="24"/>
        </w:rPr>
        <w:t xml:space="preserve">ok ostatak čine učitelji od 1.-4. razreda i nastavnici od 5.-</w:t>
      </w:r>
      <w:r>
        <w:rPr>
          <w:rFonts w:ascii="Arial" w:hAnsi="Arial" w:cs="Arial"/>
          <w:sz w:val="24"/>
          <w:szCs w:val="24"/>
        </w:rPr>
        <w:t xml:space="preserve">8. razreda. Matična škola u Gračacu broji </w:t>
      </w:r>
      <w:r>
        <w:rPr>
          <w:rFonts w:ascii="Arial" w:hAnsi="Arial" w:cs="Arial"/>
          <w:sz w:val="24"/>
          <w:szCs w:val="24"/>
        </w:rPr>
        <w:t xml:space="preserve">195</w:t>
      </w:r>
      <w:r>
        <w:rPr>
          <w:rFonts w:ascii="Arial" w:hAnsi="Arial" w:cs="Arial"/>
          <w:sz w:val="24"/>
          <w:szCs w:val="24"/>
        </w:rPr>
        <w:t xml:space="preserve"> učenika u 13 </w:t>
      </w:r>
      <w:r>
        <w:rPr>
          <w:rFonts w:ascii="Arial" w:hAnsi="Arial" w:cs="Arial"/>
          <w:sz w:val="24"/>
          <w:szCs w:val="24"/>
        </w:rPr>
        <w:t xml:space="preserve">razrednih odjeljenja dok područnu školu u Srbu pohađa 17</w:t>
      </w:r>
      <w:r>
        <w:rPr>
          <w:rFonts w:ascii="Arial" w:hAnsi="Arial" w:cs="Arial"/>
          <w:sz w:val="24"/>
          <w:szCs w:val="24"/>
        </w:rPr>
        <w:t xml:space="preserve"> učenika u 2 razredna odjeljenja u kojima se odvija kombinirana nastava.</w:t>
      </w:r>
    </w:p>
    <w:p>
      <w:pPr>
        <w:spacing/>
        <w:jc w:val="both"/>
        <w:rPr/>
      </w:pPr>
      <w:r>
        <w:rPr/>
        <w:t xml:space="preserve"> </w:t>
      </w:r>
    </w:p>
    <w:p>
      <w:pPr>
        <w:spacing/>
        <w:jc w:val="both"/>
        <w:rPr/>
      </w:pPr>
    </w:p>
    <w:p>
      <w:pPr>
        <w:spacing/>
        <w:jc w:val="both"/>
        <w:rPr/>
      </w:pPr>
    </w:p>
    <w:p>
      <w:pPr>
        <w:spacing/>
        <w:jc w:val="both"/>
        <w:rPr/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PROGRAMA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Nikole Tesle svoj rad provodi kroz sljedeće programe: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2202 Osnovno školstvo -  standard</w:t>
      </w:r>
    </w:p>
    <w:p>
      <w:pPr>
        <w:pStyle w:val="Odlomakpopisa"/>
        <w:numPr>
          <w:ilvl w:val="0"/>
          <w:numId w:val="6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A2202 – 01: Djelatnost osnovnih škola</w:t>
      </w:r>
    </w:p>
    <w:p>
      <w:pPr>
        <w:pStyle w:val="Odlomakpopisa"/>
        <w:numPr>
          <w:ilvl w:val="0"/>
          <w:numId w:val="6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Tekući projekt 2202-03: Hitne intervencije u osnovnim školama</w:t>
      </w:r>
    </w:p>
    <w:p>
      <w:pPr>
        <w:pStyle w:val="Odlomakpopisa"/>
        <w:numPr>
          <w:ilvl w:val="0"/>
          <w:numId w:val="6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A2202 – 04: Administracija i upravljanje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2203 – Osnovno školstvo – iznad standarda</w:t>
      </w:r>
    </w:p>
    <w:p>
      <w:pPr>
        <w:pStyle w:val="Odlomakpopisa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A2203 – 01: Javne potrebe u prosvjeti – korisnici</w:t>
      </w:r>
    </w:p>
    <w:p>
      <w:pPr>
        <w:pStyle w:val="Odlomakpopisa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A2203 – 04: Podizanje kvalitete i standarda u školstvu</w:t>
      </w:r>
    </w:p>
    <w:p>
      <w:pPr>
        <w:pStyle w:val="Odlomakpopisa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A2203 – 27: Udžbenici</w:t>
      </w:r>
    </w:p>
    <w:p>
      <w:pPr>
        <w:pStyle w:val="Odlomakpopisa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2203-33: Prehrana za učenike</w:t>
      </w:r>
    </w:p>
    <w:p>
      <w:pPr>
        <w:pStyle w:val="Odlomakpopisa"/>
        <w:numPr>
          <w:ilvl w:val="0"/>
          <w:numId w:val="4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2203-34: Zalihe menstrualnih higijenskih potrepština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</w:t>
      </w:r>
      <w:r>
        <w:rPr>
          <w:rFonts w:ascii="Times New Roman" w:hAnsi="Times New Roman" w:cs="Times New Roman"/>
          <w:sz w:val="24"/>
          <w:szCs w:val="24"/>
        </w:rPr>
        <w:t xml:space="preserve"> treba izdvojiti program </w:t>
      </w:r>
      <w:r>
        <w:rPr>
          <w:rFonts w:ascii="Times New Roman" w:hAnsi="Times New Roman" w:cs="Times New Roman"/>
          <w:sz w:val="24"/>
          <w:szCs w:val="24"/>
        </w:rPr>
        <w:t xml:space="preserve">EU: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4306 - Nacionalni EU projekti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Tekući projekt T4306 – 03: Inkluzija – korak</w:t>
      </w:r>
      <w:r>
        <w:rPr>
          <w:rFonts w:ascii="Times New Roman" w:hAnsi="Times New Roman" w:cs="Times New Roman"/>
          <w:sz w:val="24"/>
          <w:szCs w:val="24"/>
        </w:rPr>
        <w:t xml:space="preserve"> bliže društvu bez prepreka 2023./2024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Kroz navedene programe prioritet je osigurati kvalitetno obrazovanje i odgoj za učenike na sljedeće načine:</w:t>
      </w:r>
    </w:p>
    <w:p>
      <w:pPr>
        <w:pStyle w:val="Odlomakpopisa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Stalnim usavršavanjem nastavnika</w:t>
      </w:r>
    </w:p>
    <w:p>
      <w:pPr>
        <w:pStyle w:val="Odlomakpopisa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Poticanjem učenika na otkrivanje i iskazivanje njihove kreativnosti, talenata i sposobnosti, kroz poticanje na njihovo uključivanje u slobodne aktivnosti, natjecanja, školske projekte, priredbe, razne manifestacije</w:t>
      </w:r>
    </w:p>
    <w:p>
      <w:pPr>
        <w:pStyle w:val="Odlomakpopisa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Organiziranjem izvannastavnih aktivnosti u koje su jednako uključeni kako nastavnici tako i učenici</w:t>
      </w:r>
    </w:p>
    <w:p>
      <w:pPr>
        <w:pStyle w:val="Odlomakpopisa"/>
        <w:numPr>
          <w:ilvl w:val="0"/>
          <w:numId w:val="5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Odlascima na jednodnevne i višednevne terenske nastave i izlete</w:t>
      </w:r>
    </w:p>
    <w:p>
      <w:pPr>
        <w:spacing/>
        <w:jc w:val="both"/>
        <w:rPr>
          <w:b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2202 Osnovno školstvo -  standard</w:t>
      </w:r>
    </w:p>
    <w:tbl>
      <w:tblPr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853"/>
        <w:gridCol w:w="1276"/>
        <w:gridCol w:w="1275"/>
        <w:gridCol w:w="1418"/>
        <w:gridCol w:w="1353"/>
      </w:tblGrid>
      <w:tr>
        <w:trPr>
          <w:trHeight w:val="757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2023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2024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2026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Indeks 2024/2023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A2202 – 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Djelatnost osnovnih škola</w:t>
            </w: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259.423,87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267.833,93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274.529,77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281.393,01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103,24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Tekući projekt 2022-03:Hitne intervencije u osnovnim školama</w:t>
            </w: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4.244,76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8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A2202 –04: Administracija i upravljanje</w:t>
            </w:r>
          </w:p>
        </w:tc>
        <w:tc>
          <w:tcPr>
            <w:tcW w:type="dxa" w:w="1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916.145,66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980.341,77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1.004.850,31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1.029.971,56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107,01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b/>
          <w:sz w:val="24"/>
          <w:szCs w:val="24"/>
        </w:rPr>
        <w:t xml:space="preserve">Osnovno školstvo-standard </w:t>
      </w:r>
      <w:r>
        <w:rPr>
          <w:rFonts w:ascii="Times New Roman" w:hAnsi="Times New Roman" w:cs="Times New Roman"/>
          <w:sz w:val="24"/>
          <w:szCs w:val="24"/>
        </w:rPr>
        <w:t xml:space="preserve">po</w:t>
      </w:r>
      <w:r>
        <w:rPr>
          <w:rFonts w:ascii="Times New Roman" w:hAnsi="Times New Roman" w:cs="Times New Roman"/>
          <w:sz w:val="24"/>
          <w:szCs w:val="24"/>
        </w:rPr>
        <w:t xml:space="preserve">dijeljen je u dvije aktivnosti i jedan tekući projekt: </w:t>
      </w:r>
      <w:r>
        <w:rPr>
          <w:rFonts w:ascii="Times New Roman" w:hAnsi="Times New Roman" w:cs="Times New Roman"/>
          <w:b/>
          <w:sz w:val="24"/>
          <w:szCs w:val="24"/>
        </w:rPr>
        <w:t xml:space="preserve">Djelatnost osnovnih škola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Administracija i upravljanje </w:t>
      </w:r>
      <w:r>
        <w:rPr>
          <w:rFonts w:ascii="Times New Roman" w:hAnsi="Times New Roman" w:cs="Times New Roman"/>
          <w:sz w:val="24"/>
          <w:szCs w:val="24"/>
        </w:rPr>
        <w:t xml:space="preserve">te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 Hitne intervencije u osnovnim školama.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po aktivnosti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Djelatnost osnovnih škola</w:t>
      </w:r>
      <w:r>
        <w:rPr>
          <w:rFonts w:ascii="Times New Roman" w:hAnsi="Times New Roman" w:cs="Times New Roman"/>
          <w:sz w:val="24"/>
          <w:szCs w:val="24"/>
        </w:rPr>
        <w:t xml:space="preserve"> namijenjen je financiranju decentraliziranog dijela financijskog plana, odnosno financiranju općih troškova neophodnih za rad i obavljan</w:t>
      </w:r>
      <w:r>
        <w:rPr>
          <w:rFonts w:ascii="Times New Roman" w:hAnsi="Times New Roman" w:cs="Times New Roman"/>
          <w:sz w:val="24"/>
          <w:szCs w:val="24"/>
        </w:rPr>
        <w:t xml:space="preserve">je djelatnosti škole. Iznos 2023</w:t>
      </w:r>
      <w:r>
        <w:rPr>
          <w:rFonts w:ascii="Times New Roman" w:hAnsi="Times New Roman" w:cs="Times New Roman"/>
          <w:sz w:val="24"/>
          <w:szCs w:val="24"/>
        </w:rPr>
        <w:t xml:space="preserve">. godine nije prvotno planirani iznos već je to iznos utvrđen rebalansom tj. izmjenom i dopunom financijskog plana. Ova aktivnost financira se isključivo županijskim sredstvima, a s obzirom na inflaciju i ekonomsko stanje koje se očekuje u narednom razdoblju upitna je dostatnost sredstava za pla</w:t>
      </w:r>
      <w:r>
        <w:rPr>
          <w:rFonts w:ascii="Times New Roman" w:hAnsi="Times New Roman" w:cs="Times New Roman"/>
          <w:sz w:val="24"/>
          <w:szCs w:val="24"/>
        </w:rPr>
        <w:t xml:space="preserve">ćanje troškova kao i u prethodnoj godini.</w:t>
      </w:r>
      <w:r>
        <w:rPr>
          <w:rFonts w:ascii="Times New Roman" w:hAnsi="Times New Roman" w:cs="Times New Roman"/>
          <w:sz w:val="24"/>
          <w:szCs w:val="24"/>
        </w:rPr>
        <w:t xml:space="preserve"> 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Administracija i upravljanje</w:t>
      </w:r>
      <w:r>
        <w:rPr>
          <w:rFonts w:ascii="Times New Roman" w:hAnsi="Times New Roman" w:cs="Times New Roman"/>
          <w:sz w:val="24"/>
          <w:szCs w:val="24"/>
        </w:rPr>
        <w:t xml:space="preserve"> namijenjena je financiranju rashoda za zaposlenike koja obuhvaća plaće za redovan rad, ostale rashode za zaposlene (jubilarne nagrade, regres, pomoći u slučaju smrti člana obitelji, duže bolovanje, otpremnine, mentorstvo), doprinos za obvezno zdravstveno osiguranje, naknade za prijevoz na posao i posla, novčanu nak.posl. zbog nezapošljavanja osoba za invaliditetom, a financira se sredstvima Ministarstva znanosti, obrazovanja i športa. S obzirom na očekivani porast plaća i pregovore sa Vladom, planirani je veći iznos rashoda za zap</w:t>
      </w:r>
      <w:r>
        <w:rPr>
          <w:rFonts w:ascii="Times New Roman" w:hAnsi="Times New Roman" w:cs="Times New Roman"/>
          <w:sz w:val="24"/>
          <w:szCs w:val="24"/>
        </w:rPr>
        <w:t xml:space="preserve">oslenike u narednom periodu za 7</w:t>
      </w:r>
      <w:r>
        <w:rPr>
          <w:rFonts w:ascii="Times New Roman" w:hAnsi="Times New Roman" w:cs="Times New Roman"/>
          <w:sz w:val="24"/>
          <w:szCs w:val="24"/>
        </w:rPr>
        <w:t xml:space="preserve"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Tekući projekt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Hitne intervencije u osnovnim školama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dio su financijskog plana za spomenuto razdoblje, ali nisu planirani iznosi s obzirom na činjenicu da u okviru ovog projekta županija na zahtjev škole odobrava ili ne odobrava tražena sredstva.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2203 – Osnovno školstvo – iznad standarda</w:t>
      </w:r>
    </w:p>
    <w:tbl>
      <w:tblPr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276"/>
        <w:gridCol w:w="1417"/>
        <w:gridCol w:w="1418"/>
        <w:gridCol w:w="1353"/>
      </w:tblGrid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2023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2024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2026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Indeks 2024/2023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A2203 – 01: Javne potrebe u prosvjeti – korisnici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796,00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A2203 – 04: Podizanje kvalitete i standarda u školstvu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15.244,54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22.306,49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22.864,15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23.435,79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146,32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A2203 – 27: Udžbenici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14.599,51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23.579,56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24.169,05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24.773,28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161,51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2203-33: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Prehrana za učenike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33.757,44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46.985,26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48.159,89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49.363,89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139,18</w:t>
            </w:r>
          </w:p>
        </w:tc>
      </w:tr>
      <w:tr>
        <w:trPr>
          <w:trHeight w:val="702" w:hRule="atLeast"/>
          <w:jc w:val="center"/>
        </w:trPr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Aktivnost 2203-34: Zalihe menstrualnih higijenskih potrepština</w:t>
            </w: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495,06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EUR</w:t>
            </w:r>
          </w:p>
        </w:tc>
        <w:tc>
          <w:tcPr>
            <w:tcW w:type="dxa" w:w="13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0,00 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Osnovno školstvo – iznad standarda </w:t>
      </w:r>
      <w:r>
        <w:rPr>
          <w:rFonts w:ascii="Times New Roman" w:hAnsi="Times New Roman" w:cs="Times New Roman"/>
          <w:sz w:val="24"/>
          <w:szCs w:val="24"/>
        </w:rPr>
        <w:t xml:space="preserve">uključene su sljedeće aktivnosti: </w:t>
      </w:r>
      <w:r>
        <w:rPr>
          <w:rFonts w:ascii="Times New Roman" w:hAnsi="Times New Roman" w:cs="Times New Roman"/>
          <w:b/>
          <w:sz w:val="24"/>
          <w:szCs w:val="24"/>
        </w:rPr>
        <w:t xml:space="preserve">Javne potrebe u prosvjeti-korisnici, Podizanje kvalitete i standarda u školstvu, </w:t>
      </w:r>
      <w:r>
        <w:rPr>
          <w:rFonts w:ascii="Times New Roman" w:hAnsi="Times New Roman" w:cs="Times New Roman"/>
          <w:b/>
          <w:sz w:val="24"/>
          <w:szCs w:val="24"/>
        </w:rPr>
        <w:t xml:space="preserve">Udžbenici, Prehrana za učenike </w:t>
      </w:r>
      <w:r>
        <w:rPr>
          <w:rFonts w:ascii="Times New Roman" w:hAnsi="Times New Roman" w:cs="Times New Roman"/>
          <w:sz w:val="24"/>
          <w:szCs w:val="24"/>
        </w:rPr>
        <w:t xml:space="preserve">i</w:t>
      </w:r>
      <w:r>
        <w:rPr>
          <w:rFonts w:ascii="Times New Roman" w:hAnsi="Times New Roman" w:cs="Times New Roman"/>
          <w:b/>
          <w:sz w:val="24"/>
          <w:szCs w:val="24"/>
        </w:rPr>
        <w:t xml:space="preserve"> Zalihe menstrualnih higijenskih potrepština.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Javne potrebe u prosvjeti – korisnici</w:t>
      </w:r>
      <w:r>
        <w:rPr>
          <w:rFonts w:ascii="Times New Roman" w:hAnsi="Times New Roman" w:cs="Times New Roman"/>
          <w:sz w:val="24"/>
          <w:szCs w:val="24"/>
        </w:rPr>
        <w:t xml:space="preserve"> predstavlja aktivnost za koju se aplicira kako bi se financirale određene potrebe škole, a za koju županija odobrava sredstva koja će doprinijeti poslovanju. Ona nis</w:t>
      </w:r>
      <w:r>
        <w:rPr>
          <w:rFonts w:ascii="Times New Roman" w:hAnsi="Times New Roman" w:cs="Times New Roman"/>
          <w:sz w:val="24"/>
          <w:szCs w:val="24"/>
        </w:rPr>
        <w:t xml:space="preserve">u planirana unaprijed, a za 2023</w:t>
      </w:r>
      <w:r>
        <w:rPr>
          <w:rFonts w:ascii="Times New Roman" w:hAnsi="Times New Roman" w:cs="Times New Roman"/>
          <w:sz w:val="24"/>
          <w:szCs w:val="24"/>
        </w:rPr>
        <w:t xml:space="preserve">. godinu odobrena su sredstva u iznosu od</w:t>
      </w:r>
      <w:r>
        <w:rPr>
          <w:rFonts w:ascii="Times New Roman" w:hAnsi="Times New Roman" w:cs="Times New Roman"/>
          <w:sz w:val="24"/>
          <w:szCs w:val="24"/>
        </w:rPr>
        <w:t xml:space="preserve"> 796,00 EUR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Podizanje kvalitete i standarda u školstvu</w:t>
      </w:r>
      <w:r>
        <w:rPr>
          <w:rFonts w:ascii="Times New Roman" w:hAnsi="Times New Roman" w:cs="Times New Roman"/>
          <w:sz w:val="24"/>
          <w:szCs w:val="24"/>
        </w:rPr>
        <w:t xml:space="preserve"> uključuje rashode koji se pokrivaju i iz vlastitih prihoda škole, viškova/manjkova, prihoda za posebne namjene, proračuna JLS, ali i od strane MZOS-a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Udžbenici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financirana sredstvima Ministarstva.</w:t>
      </w:r>
      <w:r>
        <w:rPr>
          <w:rFonts w:ascii="Times New Roman" w:hAnsi="Times New Roman" w:cs="Times New Roman"/>
          <w:sz w:val="24"/>
          <w:szCs w:val="24"/>
        </w:rPr>
        <w:t xml:space="preserve"> Planira se kako će u 2024. godini biti utrošeno 60% više sredstava za njihovu nabavu iz razloga što se za školsku godinu 2024./2025. nabavljaju kompletno svi novi udžbenici. Aktivnost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Zalihe menstrualnih higijenskih potrepština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financiraju se doznačenim sredstvima Ministarstva rada, mirovinskog sustava, obitelji i socijalne politike.</w:t>
      </w:r>
      <w:r>
        <w:rPr>
          <w:rFonts w:ascii="Times New Roman" w:hAnsi="Times New Roman" w:cs="Times New Roman"/>
          <w:sz w:val="24"/>
          <w:szCs w:val="24"/>
        </w:rPr>
        <w:t xml:space="preserve"> U 2023. godini doznačeno je 495,06 EUR dok za 2024.,2025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i 2026. godinu nisu planirana sredstva.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programa 4306 - Nacionalni EU projekti</w:t>
      </w: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275"/>
        <w:gridCol w:w="1418"/>
        <w:gridCol w:w="1276"/>
        <w:gridCol w:w="1275"/>
      </w:tblGrid>
      <w:tr>
        <w:trPr>
          <w:trHeight w:val="702" w:hRule="atLeast"/>
          <w:jc w:val="center"/>
        </w:trPr>
        <w:tc>
          <w:tcPr>
            <w:tcW w:type="dxa" w:w="24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</w:tcPr>
          <w:p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2023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Plan 2024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2025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Procjena 2026</w:t>
            </w:r>
            <w:r>
              <w:rPr>
                <w:rFonts w:ascii="Times New Roman" w:hAnsi="Times New Roman" w:cs="Times New Roman"/>
                <w:b/>
              </w:rPr>
              <w:t xml:space="preserve">.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D9D9D9" w:color="auto" w:val="clear"/>
            <w:hideMark/>
          </w:tcPr>
          <w:p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Indeks 2024/2023</w:t>
            </w:r>
          </w:p>
        </w:tc>
      </w:tr>
      <w:tr>
        <w:trPr>
          <w:trHeight w:val="702" w:hRule="atLeast"/>
          <w:jc w:val="center"/>
        </w:trPr>
        <w:tc>
          <w:tcPr>
            <w:tcW w:type="dxa" w:w="240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Tekući projekt T4306 – 03: Inkluzija – korak</w:t>
            </w:r>
            <w:r>
              <w:rPr>
                <w:rFonts w:ascii="Times New Roman" w:hAnsi="Times New Roman" w:cs="Times New Roman"/>
              </w:rPr>
              <w:t xml:space="preserve"> bliže društvu bez prepreka 2023./2024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4.965,55 EUR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22.906,50 EUR</w:t>
            </w:r>
          </w:p>
        </w:tc>
        <w:tc>
          <w:tcPr>
            <w:tcW w:type="dxa" w:w="14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23.479,17 EUR</w:t>
            </w:r>
          </w:p>
        </w:tc>
        <w:tc>
          <w:tcPr>
            <w:tcW w:type="dxa" w:w="127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24.066,14 EUR </w:t>
            </w:r>
          </w:p>
        </w:tc>
        <w:tc>
          <w:tcPr>
            <w:tcW w:type="dxa" w:w="12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4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461,31 EUR</w:t>
            </w:r>
          </w:p>
        </w:tc>
      </w:tr>
    </w:tbl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programa: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Inkluzija – korak bliže društvu bez prepreka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europski je nacionalni projekt kojim se promiče kvaliteta rada učenika s poteškoćama. Prijavom na projekt </w:t>
      </w:r>
      <w:r>
        <w:rPr>
          <w:rFonts w:ascii="Times New Roman" w:hAnsi="Times New Roman" w:cs="Times New Roman"/>
          <w:sz w:val="24"/>
          <w:szCs w:val="24"/>
        </w:rPr>
        <w:t xml:space="preserve">odobren je rad </w:t>
      </w:r>
      <w:r>
        <w:rPr>
          <w:rFonts w:ascii="Times New Roman" w:hAnsi="Times New Roman" w:cs="Times New Roman"/>
          <w:sz w:val="24"/>
          <w:szCs w:val="24"/>
        </w:rPr>
        <w:t xml:space="preserve">trojice </w:t>
      </w:r>
      <w:r>
        <w:rPr>
          <w:rFonts w:ascii="Times New Roman" w:hAnsi="Times New Roman" w:cs="Times New Roman"/>
          <w:sz w:val="24"/>
          <w:szCs w:val="24"/>
        </w:rPr>
        <w:t xml:space="preserve">pomoćnika u nastavi </w:t>
      </w:r>
      <w:r>
        <w:rPr>
          <w:rFonts w:ascii="Times New Roman" w:hAnsi="Times New Roman" w:cs="Times New Roman"/>
          <w:sz w:val="24"/>
          <w:szCs w:val="24"/>
        </w:rPr>
        <w:t xml:space="preserve">koji su potrebni za pružanje pomoći</w:t>
      </w:r>
      <w:r>
        <w:rPr>
          <w:rFonts w:ascii="Times New Roman" w:hAnsi="Times New Roman" w:cs="Times New Roman"/>
          <w:sz w:val="24"/>
          <w:szCs w:val="24"/>
        </w:rPr>
        <w:t xml:space="preserve"> tijekom učenja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 obzirom da je Inkluzija </w:t>
      </w:r>
      <w:r>
        <w:rPr>
          <w:rFonts w:ascii="Times New Roman" w:hAnsi="Times New Roman" w:cs="Times New Roman"/>
          <w:sz w:val="24"/>
          <w:szCs w:val="24"/>
        </w:rPr>
        <w:t xml:space="preserve">tijekom 2023.godine planirana kao izvor sredstava za samo jednog od pomoćnika, </w:t>
      </w:r>
      <w:r>
        <w:rPr>
          <w:rFonts w:ascii="Times New Roman" w:hAnsi="Times New Roman" w:cs="Times New Roman"/>
          <w:sz w:val="24"/>
          <w:szCs w:val="24"/>
        </w:rPr>
        <w:t xml:space="preserve">planiran je i manji iznos sredstava po projektu. Za 2024. godinu kao i 2025. i 2026. godinu planirana su sredstava za svih troje pomoćnika.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Svi navedeni iznosi u tablicama iskazani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su u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eurima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kao primarnoj valuti Republike Hrvatske od 01.01.2023.godine.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Zakonske i druge pravne osnove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lokalnoj i područnoj (regionalnoj) samoupravi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plaćama u javnim službama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Uredba o raspodjeli dodatnih sredstava za plaće učitelja i nastavnika u osnovnom školstvu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Temeljni kolektivni ugovor za zaposlenike u javnim službama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Kolektivni ugovor za zaposlenike u osnovnoškolskim ustanovama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radu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odgoju i obrazovanju u osnovnoj i srednjoj školi, NN, br. 87/08, 86/09, 92/140, 105/10, 90/11, 5/12, 16/12, 86/12, 126/12, 94/13, 152/14, 07/17, 68/18, 98/19, 64/20</w:t>
      </w:r>
      <w:r>
        <w:rPr>
          <w:rFonts w:ascii="Times New Roman" w:hAnsi="Times New Roman" w:cs="Times New Roman"/>
          <w:sz w:val="24"/>
          <w:szCs w:val="24"/>
        </w:rPr>
        <w:t xml:space="preserve">, 151/22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ustanovama, NN, br. 76/93., 29/97., 47/99., 35/08., 127/19</w:t>
      </w:r>
      <w:r>
        <w:rPr>
          <w:rFonts w:ascii="Times New Roman" w:hAnsi="Times New Roman" w:cs="Times New Roman"/>
          <w:sz w:val="24"/>
          <w:szCs w:val="24"/>
        </w:rPr>
        <w:t xml:space="preserve">, 151/22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 o proračunu (NN. b</w:t>
      </w:r>
      <w:r>
        <w:rPr>
          <w:rFonts w:ascii="Times New Roman" w:hAnsi="Times New Roman" w:cs="Times New Roman"/>
          <w:sz w:val="24"/>
          <w:szCs w:val="24"/>
        </w:rPr>
        <w:t xml:space="preserve">r.</w:t>
      </w:r>
      <w:r>
        <w:rPr>
          <w:rFonts w:ascii="Times New Roman" w:hAnsi="Times New Roman" w:cs="Times New Roman"/>
          <w:sz w:val="24"/>
          <w:szCs w:val="24"/>
        </w:rPr>
        <w:t xml:space="preserve"> 144/21</w:t>
      </w:r>
      <w:r>
        <w:rPr>
          <w:rFonts w:ascii="Times New Roman" w:hAnsi="Times New Roman" w:cs="Times New Roman"/>
          <w:sz w:val="24"/>
          <w:szCs w:val="24"/>
        </w:rPr>
        <w:t xml:space="preserve">). Pravilnik o proračunskim klasifikacijama (NN, br. 94/07, 26/10 i 120/13., 1/20), Pravilnik o proračunskom računovodstvu i računskom planu (NN, br. 124/14, 115/15, 87/16, 3/18, 126/19, 108/20), Pravilnik o financijskom izvještavanju u proračunskom računovodstvu (NN 3/15, 93/15, 135/15, 2/17, 28/17, 112/18, 126/19, 145/20 i 32/21), Pravilnik o polugodišnjem i godišnjem izvještaju o izvršenju proračuna (NN 24/13, 102/17, 1/20 i 147/20)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Upute za izradu prijedloga proračuna i financijskih planova upravnih tijela, proračunskih i izvanproračunskih korisnika Zad</w:t>
      </w:r>
      <w:r>
        <w:rPr>
          <w:rFonts w:ascii="Times New Roman" w:hAnsi="Times New Roman" w:cs="Times New Roman"/>
          <w:sz w:val="24"/>
          <w:szCs w:val="24"/>
        </w:rPr>
        <w:t xml:space="preserve">arske županije za razdoblje 2024.-2026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Škole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plan i program r</w:t>
      </w:r>
      <w:r>
        <w:rPr>
          <w:rFonts w:ascii="Times New Roman" w:hAnsi="Times New Roman" w:cs="Times New Roman"/>
          <w:sz w:val="24"/>
          <w:szCs w:val="24"/>
        </w:rPr>
        <w:t xml:space="preserve">ada škole za školsku godinu 2023./2024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pStyle w:val="Odlomakpopisa"/>
        <w:numPr>
          <w:ilvl w:val="0"/>
          <w:numId w:val="2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</w:t>
      </w:r>
      <w:r>
        <w:rPr>
          <w:rFonts w:ascii="Times New Roman" w:hAnsi="Times New Roman" w:cs="Times New Roman"/>
          <w:sz w:val="24"/>
          <w:szCs w:val="24"/>
        </w:rPr>
        <w:t xml:space="preserve">kurikulum za školsku godinu 2023./2024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Usklađenost ciljeva, strategije i programa s dokumentima dugoročnog razvoja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Školske ustanove s obzirom na prirodu svog poslovanja ne donose strateške planove i ciljeve, već godišnje operativne planove i školski kurikulum prema planu i programu koje je donijelo Ministarstvo znanosti i obrazovanja. Ciljevi i programi MZO-a kao i jedinice lokalne (regionalne) samouprave usklađeni su sa ciljevima i programima školske ustanove.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Planovi sa ciljem realizacije se donose za nastavnu, a ne fiskalnu godinu.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Ishodišta i pokazatelji na kojima se zasnivaju izračuni i ocjene potrebnih sredstava za provođenje programa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Izvori sredstava za financiranje rada Osnovne škole Nikole tesle u Gračacu su:</w:t>
      </w:r>
    </w:p>
    <w:p>
      <w:pPr>
        <w:pStyle w:val="Odlomakpopisa"/>
        <w:numPr>
          <w:ilvl w:val="0"/>
          <w:numId w:val="7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proračunskim korisnicima iz proračuna koji im nije nadležan, skupina 636, državni proračun za financiranje rada zaposlenih radnika – plaće i ostala nematerijalna prava</w:t>
      </w:r>
    </w:p>
    <w:p>
      <w:pPr>
        <w:pStyle w:val="Odlomakpopisa"/>
        <w:numPr>
          <w:ilvl w:val="0"/>
          <w:numId w:val="7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 prihodi i primici, skupina 671, županijski proračun za materijalne troškove poslovanja te održavanje i obnovu nefinancijske imovine.</w:t>
      </w:r>
    </w:p>
    <w:p>
      <w:pPr>
        <w:pStyle w:val="Odlomakpopisa"/>
        <w:numPr>
          <w:ilvl w:val="0"/>
          <w:numId w:val="7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od najma prostora zgrade Škole (iznajmljivanje školske dvorane, najam prostora za aparat za kavu) kao i prostor školskog dvorišta sa mogućnošću zakupa sa svrhom provedbe dodatnih aktivnosti škole prema Planu i programu te obnovu nefinancijske imovine.</w:t>
      </w:r>
    </w:p>
    <w:p>
      <w:pPr>
        <w:pStyle w:val="Odlomakpopisa"/>
        <w:numPr>
          <w:ilvl w:val="0"/>
          <w:numId w:val="7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Prijenosi između proračunskih korisnika istog proračuna, skupina 639 – tekući prijenosi između proračunskih korisnika istog proračuna temeljem prijenosa EU sredstava.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od županije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rashodima iz kategorije općih troškova planirali smo troškove prema prioritetima funkcioniranja škole. Za usluge tekućeg i investicijskog održavanja, materijal i dijelove za tekuće i investicijsko održavanje, zakupnine i najamnine, zdravstvene i veterinarske usluge kao i računalne usluge županija je unaprijed odredila limite. Nakon toga planirali smo obvezne režijske rashode kao što su komunalne usluge, usluge telefona, pošte i prijevoza i energija te je preostali iznos razvrstan shodno potrebama škole kako bi njezino funkcioniranje i rad bili neometani.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Vlastiti prihodi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Vlastiti prihodi će se koristiti prvenstveno za potrebe redovitog poslovanja u slučaju nedostatka financijskih sredstava iz županijskog proračuna te za obnovu i nabavu nefinancijske imovine.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Prihodi po posebnim propisima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po posebnim propisima će se koristiti za poboljšanje učeničkog standarda.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Pomoći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Prihode od pomoći koji će se koristiti isključivo namjenski čine prihodi od nadležnog ministarstva za plaće, materijalna prava kao i nabavu knjiga.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PODUZMI – Projekt EU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Usprkos </w:t>
      </w:r>
      <w:r>
        <w:rPr>
          <w:rFonts w:ascii="Times New Roman" w:hAnsi="Times New Roman" w:cs="Times New Roman"/>
          <w:sz w:val="24"/>
          <w:szCs w:val="24"/>
        </w:rPr>
        <w:t xml:space="preserve">skoro pa </w:t>
      </w:r>
      <w:r>
        <w:rPr>
          <w:rFonts w:ascii="Times New Roman" w:hAnsi="Times New Roman" w:cs="Times New Roman"/>
          <w:sz w:val="24"/>
          <w:szCs w:val="24"/>
        </w:rPr>
        <w:t xml:space="preserve">završetku projekta PODUZMI koji je trajao 18 mjeseci i po kojem neće biti poduzete nikakve aktivnosti u 2024. godini kao niti u 2025. i 2026. godini, zbog njegove značajnosti za školu i uspješnosti provedbe u nastavku je naveden sažetak projekta i njegove ostale značajke koje su postignute tijekom 2022. i 2023. godine.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Sažetak projekta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PODUZMI ima za cilj razraditi model podučavanja baziran na podizanju kreativnosti i poduzetničkog razmišljanja u kontekstu ruralne zajednice i u cilju održivog korištenja lokalnih resursa u poduzetničke svrhe, podizanje svijesti o oskudnim resursima te kontekstu klimatskih promjena. Ruralna područja (općina Gračac) imaju veće izazove od gradskih centara u vezi sa obrazovnim razvojem zbog socioekonomskih i institucionalnih struktura. Projekt će potaknuti kreativnost, svijest o poduzetništvu i dugoročno stvoriti održiva radna mjesta u ruralnim </w:t>
      </w:r>
      <w:r>
        <w:rPr>
          <w:rFonts w:ascii="Times New Roman" w:hAnsi="Times New Roman" w:cs="Times New Roman"/>
          <w:sz w:val="24"/>
          <w:szCs w:val="24"/>
        </w:rPr>
        <w:t xml:space="preserve">sredinama povećavajući poduzetnički potencijal deprivirane, lokalne zajednice istovremeno pridonoseći smanjenju jaza i pomažući u osiguravanju ruralno-urbane ravnoteže.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Uloga u provedbi projekta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OŠ Nikole Tesle u Gračacu će se implementirati inovativni model podučavanja o poduzetništvu u obliku pilot programa. Škola prepoznaje važnost obrazovnog procesa poduzetništva i stvaranja uvjeta za implementaciju modela te će se za ovu svrhu opremiti školski poduzetnički laboratorij. Stručna usavršavanja u sklopu projekta (Aktivnost 2) će se provoditi u laboratoriju. Unutar laboratorija učenici će razvijati svoje ideje, raditi zajedničke projekte i učiti o kreativnosti i inovativnosti te značaju poduzetništva u kontekstu svoje zajednice. Škola će svim svojim kapacitetima omogućiti uključivanje koncepta poduzetništva, nadogradnje i stjecanja vještina i kompetencija i učitelja i učenika kao sastavnog dijela kurikuluma svake škole. Učitelji iz škole će aktivno sudjelovati u projektnim aktivnostima za unaprjeđenje vještina i kompetencija u okviru Creativity Campa te posjetiti i Norvešku kroz studijsko putovanje.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projekta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PODUZMI  odnosi se na razvoj i implementaciju inovativnog modela podučavanja o poduzetništvu u općini Gračac kroz stručno usavršavanje nastavnika i odgojno-obrazovnih djelatnika te nužno opremanje pilot škole, OŠ Nikole Tesle. Općina se svrstava u 1. skupinu JLS prema stupnju razvijenosti, a geografski predstavlja sastavni dio Like sa svim problemima i teškoćama tog dijela države. Ovo područje je bilo teško pogođeno ratnim razaranjima, te se pored izražene depopulacije i škola suočava sa manjkom đaka.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Poduzetnička kompetencija jedna je od ključnih kompetencija cjeloživotnog učenja te poticanje i razvoj poduzetništva započinje od najranije dobi. Učitelj je ključna figura i nepremostiva veza  za podučavanje i učenje o poduzetništvu u školama jer je izravno povezan sa učenikom. Od učitelja se očekuje da i sam stekne kreativne vještine i kompetencije kako bi osigurao svoj i uspjeh obrazovnog sustava, te uspjeh učenika i uspjeh i boljitak zajednice. Opći cilj projekta je doprinos održivom razvoju ruralnih područja, smanjenju siromaštva i raseljavanju mladih te poticanje socijalne uključenosti i inovacija u depriviranim općinama i mjestima Zadarske županije. Važno je naglasiti da su ciljana ruralna područja sustavno zanemarivana i daleko od uspješnog koncepta održivog razvoja. Projekt će potaknuti kreativnost, svijest o poduzetništvu i dugoročno stvoriti održiva radna mjesta u ruralnim, malim gradovima istovremeno povećavajući poduzetnički potencijal lokalne zajednice. Ruralna područja imaju veće izazove u vezi sa obrazovnim razvojem od gradskih centara upravo zbog socioekonomskih i institucionalnih struktura takvih područja. Odgoj i obrazovanje za poduzetništvo kao i poduzetničke kompetencije doprinose smanjenju jaza i pomažu u osiguravanju ruralno-urbane ravnoteže. Povećanjem broja poduzetnika i svijesti o poduzetništvu može se postići ravnomjernija raspodjela dohotka između ruralnih i urbanih područja i to: poboljšanjem proizvodnih kapaciteta, boljim iskorištenjem prirodnih resursa i potencijala, povećanjem zaposlenosti te smanjenjem migracije stanovništva. Ciljane skupine projekta su nastavnici i odgojno-obrazovni djelatnici u osnovnoškolskom obrazovanju općine Gračac, djelatnici obrazovnih institucija na svim razinama obrazovanja, udruge i ustanove za obrazovanje, visoka učilišta za obrazovanje i osposobljavanje odgojno-obrazovnih radnika u osnovnoškolskom obrazovanju, stručnjaci za obrazovne politike, donositelji odluka i javna tijela na lokalnoj i regionalnoj i razini, prijavitelj i partneri na projektu .Inovativni i interdisciplinarni pristup koristit će se kako bi se  sudionicima, ciljanim skupinama i krajnjim korisnicima, pružile informacije, znanje i mogućnosti koje će im osigurati rad u kreativnom i osnažujućem </w:t>
      </w:r>
      <w:r>
        <w:rPr>
          <w:rFonts w:ascii="Times New Roman" w:hAnsi="Times New Roman" w:cs="Times New Roman"/>
          <w:sz w:val="24"/>
          <w:szCs w:val="24"/>
        </w:rPr>
        <w:t xml:space="preserve">okruženju te im pomoći i voditi ih u razvoju i uspješnoj provedbi projektne ideje i zadanog cilja. Krajnji korisnici su prije svega nastavnici i djeca OŠ Nikole Tesle, šira javnost općine Gračac (roditelji, školski suradnici, poduzetnici, stanovništvo) i ostali odgojno-obrazovni djelatnici i ustanove u osnovnoškolskom obrazovanju, studenti  visokih učilišta za obrazovanje i osposobljavanje odgojno-obrazovnih radnika u osnovnoškolskom obrazovanju, opća javnost na regionalnoj razini. Budući i da 45 % stanovništva su pripadnici srpske nacionalne manjine, te da ih ima i među učiteljima i đacima, projekt ima direktan utjecaj na uključivanje nacionalnih manjina u programe obrazovanja.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7. i 8. razreda škole u Gračacu su izabrani među 10 najboljih za sudjelovanje u edukaciji o finacijskoj pismenosti u okviru natječaja MAFIN. Edukacija je imala za cilj razviti kritičko promišljanje o radu, novcu, upravljanju osobnim financijama. Učenici iz Gračaca su 2018. godine sa svojim profesorima i potporom ravnateljice sudjelovali  su u nagradnom projektu JA, PODUZETNIK! Osvojili su prvi mjesto i pokazali jako velik potencijal utemeljen na socijalnom poduzetništvu. U takvoj sinergiji ideja ovih malih ljudi stvorio se suvenir za Centar izvrsnosti Cerovačke špilje, koji će oživjeti cijelu općinu Gračac kao najveću općinu u RH i prepoznati potencijal koji čeka da bude otkriven.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Kompetencije nastavnika i odgojno-obrazovnih djelatnika za podučavanje o poduzetništvu su vrlo niske u cijeloj HR, a posebice u nerazvijenim sredinama kakvo je pilot područje, općina Gračac. Pojedina istraživanja utvrdila su nedovoljnu osposobljenost učitelja za razvoj poduzetničke kompetencije kod učenika (Domović, Baranović, Štribić,2007; Jokić,2007.)U istraživanju koje je provela Gal (2015) s temom Spremnost za implementaciju poduzetničkih kompetencija u odgojno-obrazovnom procesu kod odgajatelja, nastavnika i učitelja predmet ispitivanja odnosi se na spremnost odgojno-obrazovnih djelatnika na implementaciju poduzetničkih kompetencija u odgojno-obrazovnom procesu. Većina ispitanika ne osjeća se kompetentno za provođenje učenja za poduzetništvo, no željeli bi postati kompetentni. Navode kako su zainteresirani za edukaciju s temom poduzetništva i većina ispitanika bi se odazvala i prisustvovala edukaciji s interesom, što ohrabruje. Istraživanja pokazuju da će predavači koji pokazuju pozitivan stav prema obrazovanju za poduzetništvo biti zainteresirani za napredak učenika i spremni na uvođenje metoda aktivnog učenja (Kochadai,2012).Također, oni će biti visoko motivirani, otvorenog uma i bit će uvijek spremni djelovati motivirajuće na svoje učenike (Gibb,2002).Provedena anketa u OŠ Nikole Tesle pokazuje da je nastavno osoblje škole u Gračacu visoko motivirano da potiče učenike na poduzetničko razmišljanje, no samima nedostaje znanja o poduzetništvu i poticanju kreativnosti te su pokazali i veliku spremnost za sudjelovanje u edukacijama.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 model podučavanja u poduzetništvu omogućit će inovativan i kreativan pristup podučavanju s ciljem razvijanja znanja, vještina i kompetencija učenika u ruralno depriviranim područjima. Nastavnici će biti osposobljeni da prepoznaju potencijal, mogućnosti i sposobnosti svakog učenika i aktivno će utjecati na njihovo neovisno i pozitivno razmišljanje te razvijanje kreativnih rješenja. Poticanje i podučavanje mladih prijeko potrebnim vještinama i pružanjem alata za razvoj njihovih ideja  riješit će ekonomske i razlike u nezaposlenosti između velikih gradova i ruralnih područja, a time će osloboditi sav kreativni potencijal mladih u manjim mjestima koji su zainteresirani za rad i stvaranje. Dodatno, ono što je inovativno u našem modelu je, uz preuzimanje najboljih norveških praksi, razrada modela podučavanja koji će se bazirati na podizanju kreativnosti i poduzetničkog razmišljanja u kontekstu ruralne ili manje lokalne zajednice i u cilju održivog korištenja lokalnih resursa i održivom korištenju u poduzetničke svrhe, bez obzira da li se radi o poljoprivredi, turizmu, proizvodnji, preradi, uz osviještenost o oskudnim resursima te kontekstu klimatskih promjena. Creativity Camp u Zadru djelovat će kao čvorište za razmjenu znanja i međuinstitucionalne suradnje između ustanova za obrazovanje na svim razinama, inovativnih poduzetnika i javnih tijela. Provedba pilot programa </w:t>
      </w:r>
      <w:r>
        <w:rPr>
          <w:rFonts w:ascii="Times New Roman" w:hAnsi="Times New Roman" w:cs="Times New Roman"/>
          <w:sz w:val="24"/>
          <w:szCs w:val="24"/>
        </w:rPr>
        <w:t xml:space="preserve">povećat će motivaciju i podržati individualni razvoj ne samo glavne ciljane skupine projekta, nastavnika i odgojno-obrazovnih djelatnika općine Gračac, nego i cijele zajednice (roditelji, poduzetnici) budući da i oni pored škola trebaju razvijati poduzetničku kulturu i sustavno je podržavati.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Projektne aktivnosti podržavaju projektni partneri razmjenom opsežnog znanja i iskustva u vidu mentorstva i podrške u razvoju modela obrazovanja, održivom regionalnom razvoju i stručnom savjetovanju. Sveučilište u Zadru, kao stručni partner, u razvoju novog modela obrazovanja, na raspolaganje je stavio najbolje stručnjake iz polja pedagogije sa već prepoznatim znanstveno-istraživačkim radom upravo na polju poboljšanja kompetencija učitelja u osnovnoškolskom obrazovanju (projekt Odgoj i obrazovanje za poduzetništvo). Vinco Innovation, partner i savjetnik na projektu, aktivno će doprinijeti relevantnim znanjima povezujući norveške najbolje prakse unutar podučavanja o poduzetništvu i poticanju kreativnosti učenika koje mogu biti izvor inspiracije za poboljšanje vještina i kompetencija učitelja u okviru ovih tema. Suradnja između zemalja i razmjena iskustava, zajednički izazovi i znanje osigurat će potporu pametnom, održivom i uključivom rastu ruralnih zajednica, razvijajući nove pristupe mentorstvu i treniranju te inovativna rješenja o tome kako pripremiti i osposobiti mlade za strukturne promjene na tržištu rada. Iskustva i znanje partnera iz odabrane zemlje EGP-a omogućit će sinergiju u stvaranju optimalnih rješenja koja će pridonijeti razvoju cijele regije u konačnici. OŠ Nikole Tesle, kao partner u implementaciji projekta će se svim svojim kapacitetima aktivno uključiti u realizaciju i provedbu projekta.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Razvoj, obrazovanje, socijalna uključenost, održivi razvoj, umrežavanje i mentorstvo bit će u glavnom fokusu tijekom cijelog projektnog ciklusa. Zaključci iz provedenog pilot programa će se objaviti i distribuirati, prvo projektnim partnerima i dionicima, zatim kreatorima politike i na kraju široj javnosti. Projekt će osigurati blisku suradnju različitih vrsta organizacija i uključivanje dionika s različitim vještinama, znanjem i iskustvom u unapređenju kompetencija nastavnika i odgojno-obrazovnih djelatnika u osnovnoškolskom obrazovanju kako bi osigurao održivost rezultata. Metodologija i rezultati razvijeni Projektom mogu se primijeniti na ostalim manjim i nerazvijenim sredinama Zadarske županije i šire te poslužiti kao primjer dobre prakse u svrhu zagovaranja, razvoja i  promidžbe novih politika u osnovnoškolskom obrazovanju. Nakon provedene edukacije, studijskih putovanja i razmjene iskustava te održavanja Creativity Campa nastavnici i drugi odgojno-obrazovni djelatnici će biti značajno kompetentniji za podučavanje učenika o poduzetništvu i kreativnosti u kontekstu održivog razvoja lokalne zajednice.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Očekivani rezultati projekta</w:t>
      </w: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Rezultat 1 – Izrađen 1 inovativan model odgoja i obrazovanja za poduzetništvo u osnovnim školama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Razvoj inovativnog modela podučavanja o poduzetništvu obuhvatit će empirijsko istraživanje te studijsku posjetu Norveškoj s ciljem upoznavanja najboljih praksi na licu mjesta i transfera istih u izradu novog modela uz podršku partnera na projektu, Vinco Innovation. Cilj istraživanja je kreiranje originalnih aplikativnih odgojno-obrazovnih modela i programa za razvoj komunikacijskih, upravljačkih vještina i sposobnosti u osnovnoškolskom obrazovanju te će se tijekom izrade modela uzeti u obzir sljedeće: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Fenomeni kreativnosti i inovacija, koordiniranja stvaralaštva, upravljanja i suradnje, donošenja odluka, rješavanja problema, osvješćivanja cilja kao poslovne zamisli; 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Odgojno-obrazovne potrebe s obzirom na geografska obilježja i specifičnosti;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Kreiranje diferenciranih programa za djecu sa posebnim odgojno-obrazovnim potrebama.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Rezultat 2 – 30 dionika je steklo praktične uvide u poduzetništvo kroz trening prepoznavanja i poticanja kreativnosti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Creativity Campa bit će održan trening o inovativnosti i kreativnosti te prepoznavanja i poticanja poduzetništva na kojem će osim djelatnika OŠ Nikole Tesle prisustvovati i djelatnici drugih osnovnih škola, prvenstveno iz ruralnih dijelova Županije i ustanova za osnovnoškolsko obrazovanje. Stručnjaci sa Sveučilišta će održati spomenuti trening, a ravnatelji, inovativni poduzentici iz RH i partner iz Norveške će također podijeliti svoja iskustva i praksu. Cilj je potaknuti sudionike na korištenje vlastitih i organizacijskih kreativnih kapaciteta, te naučiti i nove, odmah primjenjive kreativne tehnike i procese da učitelji znaju potaknuti inovativno i kreativno mišljenje kod djece, kao i prepoznati kreativne i poduzetnički nadarene pojedince.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Doprinos očekivanim rezultatima projekta</w:t>
      </w:r>
    </w:p>
    <w:p>
      <w:pPr>
        <w: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Rezultat (Outcome) 1. Unaprjeđenje vještina i kompetencija učitelja i drugih odgojno-obrazovnih radnika u osnovnoškolskom sustavu odgoja i obrazovanja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Obrazovanje za poduzetništvo učenicima pruža potrebnu motivaciju, znanja i vještine neophodne za učenje o uspješnom poslovanju. Nastavnici i odgojno-obrazovni djelatnici OŠ Nikole Tesle će sudjelovati u programu stručnog usavršavanja u okviru poduzetničkog laboratorija putem temeljnih modula za razvoj inovativnog, otvorenog i fleksibilnog načina podučavanja kao i treningu o kreativnosti i inovativnosti u okviru suvremenog Centra za kreativne industrije kojim upravo upravlja nositelj projekta, s ciljem podizanje svijesti o poduzetništvu u kontekstu održivog razvoja ruralnih područja. Tijekom Creativity camp-a, imat će priliku razmijeniti i iskustva sa inovativnim poduzetnicima i ravnateljima iz RH (community-to-teacher) te stručnjacima iz zemlje donora koji će također pružiti podršku u implementaciji i razvoju programa. Očekuje se 15 educiranih djelatnika sa poboljšanim kompetencijama i vještinama.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Neposredan rezultat 1.1. Nadograđeni pristupi i prakse u promicanju vještina i kompetencija u području STEM-a, IKT-a, poduzetništva i aktivnog građanstv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 model podučavanja u poduzetništvu namijenjenog učiteljima osnovnih škola koji će izraditi stručnjaci sa Sveučilišta u Zadru u suradnji s inozemnim partnerom omogućit će inovativan i kreativan pristup podučavanju s ciljem razvijanja znanja, vještina i kompetencija potrebnih za uspjeh u 21.stoljeću posebno u ruralno depriviranim područjima. Učenje o poduzetništvu prema novom modelu će pomoći učiteljima da prepoznaju potencijal svakog učenika pa i onih koji se ne ističu u školi i onih sa posebnim potrebama,mogućnosti i sposobnosti aktivno će utjecati na njihovo neovisno i pozitivno razmišljanje te razvijanje kreativnih rješenja u lokalnim zajednicama. Poticanje i podučavanje mladih prijeko potrebnim vještinama i pružanjem alata za razvoj njihovih ideja riješit će ekonomske i razlike u nezaposlenosti između velikih gradova i ruralnih područja, a time će osloboditi kreativni potencijal mladih u manjim gradovima i ruralnim područjima koji su zainteresirani za rad i stvaranje.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Neposredan rezultat (Output) 1.2. Institucionalna suradnja za razmjenu znanja i dobrih praksi o vještinama i kompetencijama na svim razinama obrazovanja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Creativity Camp organizirat će se u prostoru specijaliziranog poduzetničkog inkubatora-Centru za kreativne industrije. Centar je osmišljen kao čvorište za razmjenu znanja između gospodarstva i obrazovnog sustava te se kroz Camp planira međuinstitucionalna suradnja ne samo sa drugim osnovnim školama i ustanovama za obrazovanje nego i norveškog partnera koji će prenijeti znanje iz svojih institucija te se povezati sa hrvatskim. Trening o inovativnosti i kreativnosti okupit će sudionike iz najmanje 10 osnovnih škola, predstavnike Sveučilišta, udruga, inovativnih poduzetnika i stručnjake za obrazovne politike. U svrhu razmjene iskustva i dobre prakse, organizirat će se i okrugli stol sastavljen od predstavnika poduzetnika, školskih djelatnika, znanstvenika sa Sveučilišta i predstavnika JLPS (Zadarske županije).Centar posjeduje najmoderniju opremu za poticanje kreativnog poduzetništva te će u sklopu radionica biti organiziran showcase u kreiranju novih proizvoda na modernoj opremi.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Bilateralni neposredni rezultat (Output) 1. Podržana bilateralna suradnja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Partner na projektu Vinco Innovation će osim razmjene znanja i iskustva na sličnim projektima predstaviti primjer prakse iz Norveške. Primjer je Økonomiglede program ili ""Radost financija"". Program je kreirala organizacija Econa koja je razvila nastavni model za djecu za učenje o osobnim financijama. Økonmiglede je dobro razvijen nastavni materijal i lak za primjenu. Materijal se temelji na primjerima iz prakse i nadopunjuje fokusna područja interdisciplinarnih tema iz javnog život te ciljeve kurikuluma u matematici i društvenih studija. Organizacija je sastavljena od profesionalaca iz svijeta ekonomije i poduzetništva, broji preko 25.000 članova, a podučavanju pristupaju volonterski. Podrškom i mentorstvom Norveškog partnera, stvorit će se podloga ne samo za pozitivnu poduzetničku kulturu utemeljenu na primjerima prakse iz zemlje kao što je Norveška nego za održiv razvoj ruralno depriviranih područja i lokalnih zajednica.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Ciljevi provedbe programa u razdoblju od 2023.-2025. i pokazatelji uspješnosti kojima će se mjeriti ostvarenje tih ciljeva:</w:t>
      </w:r>
    </w:p>
    <w:p>
      <w:pPr>
        <w:pStyle w:val="Odlomakpopisa"/>
        <w:numPr>
          <w:ilvl w:val="0"/>
          <w:numId w:val="8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Cilj: Osigurati kvalitetan odgoj i obrazovanje učenika za koji je kao pokazatelj uspješnosti uzet broj učenika koji će uspješno završiti nastavnu godinu i njihov upis u srednje škole.</w:t>
      </w:r>
    </w:p>
    <w:p>
      <w:pPr>
        <w:pStyle w:val="Odlomakpopisa"/>
        <w:numPr>
          <w:ilvl w:val="0"/>
          <w:numId w:val="8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Cilj: Podignuti razinu kreativnosti i sposobnosti učenika na način da ih se potiče na izražavanje talenata i to organiziranjem i poticanjem na njihovo uključivanje u slobodne aktivnosti, natjecanja i drugo.</w:t>
      </w:r>
    </w:p>
    <w:p>
      <w:pPr>
        <w:pStyle w:val="Odlomakpopisa"/>
        <w:numPr>
          <w:ilvl w:val="0"/>
          <w:numId w:val="8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Cilj: Usavršavanje zaposlenika kroz različite edukacije i seminare koji će svoje stečena znanja i vještine primijeniti u radu sa učenicima i time utjecati na njihov rast i razvoj.</w:t>
      </w:r>
    </w:p>
    <w:p>
      <w:pPr>
        <w:pStyle w:val="Odlomakpopisa"/>
        <w:numPr>
          <w:ilvl w:val="0"/>
          <w:numId w:val="8"/>
        </w:num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Realizacija projekta Poduzmi i uživanje zaposlenika i učenika u ostvarenom kroz različite načine.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Gračacu, </w:t>
      </w:r>
      <w:r>
        <w:rPr>
          <w:rFonts w:ascii="Times New Roman" w:hAnsi="Times New Roman" w:cs="Times New Roman"/>
          <w:sz w:val="24"/>
          <w:szCs w:val="24"/>
        </w:rPr>
        <w:t xml:space="preserve">25</w:t>
      </w:r>
      <w:r>
        <w:rPr>
          <w:rFonts w:ascii="Times New Roman" w:hAnsi="Times New Roman" w:cs="Times New Roman"/>
          <w:sz w:val="24"/>
          <w:szCs w:val="24"/>
        </w:rPr>
        <w:t xml:space="preserve">.10.2023</w:t>
      </w:r>
      <w:r>
        <w:rPr>
          <w:rFonts w:ascii="Times New Roman" w:hAnsi="Times New Roman" w:cs="Times New Roman"/>
          <w:sz w:val="24"/>
          <w:szCs w:val="24"/>
        </w:rPr>
        <w:t xml:space="preserve">. godine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Ravnateljica:</w:t>
      </w:r>
    </w:p>
    <w:p>
      <w:pPr>
        <w:tabs>
          <w:tab w:val="left" w:pos="7815"/>
        </w:tabs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______________________</w:t>
      </w:r>
    </w:p>
    <w:p>
      <w:pPr>
        <w: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Slavica Miočić, dipl. ing.</w:t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/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3564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33BD177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42CE0A9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55FF6A2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B866F3F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F3364A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oNotDisplayPageBoundaries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20" w:line="240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0283-EA26-439D-8B05-FB92C446F8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12</Pages>
  <Words>4928</Words>
  <Characters>28094</Characters>
  <Application>Microsoft Office Word</Application>
  <DocSecurity>0</DocSecurity>
  <Lines>234</Lines>
  <Paragraphs>65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Korisnik99</cp:lastModifiedBy>
  <cp:revision>2</cp:revision>
  <dcterms:created xsi:type="dcterms:W3CDTF">2023-10-25T09:22:00Z</dcterms:created>
  <dcterms:modified xsi:type="dcterms:W3CDTF">2023-10-25T09:22:00Z</dcterms:modified>
</cp:coreProperties>
</file>