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0"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NIKOLE TESLE GRAČAC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Školska 12, 23440 Gračac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400-02/24-01/2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2198-1-28-24-1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RKDP: 21254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Razina: 31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Matični broj: 03312194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Šifra djel.:8520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22252625411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Razdjel: 030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>
      <w:pPr>
        <w:spacing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OBRAZLO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ŽENJE FINANCIJSKOG PLANA ZA 2025. GODINU TE PROJEKCIJA ZA 2026. i 2027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GODINU</w:t>
      </w:r>
    </w:p>
    <w:p>
      <w:pPr>
        <w:spacing/>
        <w:jc w:val="both"/>
        <w:rPr/>
      </w:pPr>
    </w:p>
    <w:p>
      <w:pPr>
        <w: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UPRAVNI ODJEL ZA OBRAZOVANJE, KULTURU I ŠPORT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članka 105.</w:t>
      </w:r>
      <w:r>
        <w:rPr>
          <w:rFonts w:ascii="Arial" w:hAnsi="Arial" w:cs="Arial"/>
          <w:sz w:val="24"/>
          <w:szCs w:val="24"/>
        </w:rPr>
        <w:t xml:space="preserve"> Zakona o osnovnom školstvu (Narodne novine, broj 59/90., 27/93., 7/96., 59/2001 i 114/2001. točke 1.), odluke Vlade Republike Hrvatske (Klasa: 602-02/01-01/01; Urbroj: 5030108-02-12) od 24. siječnja 2002. godine te odluke Ministarstva  prosvjete i športa (Klasa: 602-02/02-01/162; Urbroj:532/01-02-1) od 20. veljače 2002. godine Zadarska županija postaje osnivačem Osnovne škole Nikole Tesle u Gračacu.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Škola je pravni slijednik društvene pravne osobe Osnovna škola „Nikola Tesla“ - Gračac,  koju je osnovala Skupština Općine Gračac svojom Odlukom br. 05-6981/1-1962  od 7. lipnja 1962. godine i koja je upisana u sudski registar Okružnog privrednog suda u Karlovcu, reg. Uložak broj 116 pod oznakom i rednim brojem upisnika US-84/73 L1 od 24. prosinca 1973. godine i upisnika broj: US-23/77 od 10. lipnja 1977. godine.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Puni naziv škole je Osnovna škola Nikole Tesle čije je sjedište u Gračacu, Školska ul. 12. Škola u svom sastavu ima područni odjel u Srbu te je upisana u sudski registar Trgovačkog suda u Zadru. Škola se upisuje i u upisnik ustanova koje provode odgoj i osnovno obrazovanje, a koji je ustrojen u Ministarstvu znanosti, obrazovanja i športa (u nastavku: Ministarstvo).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Nastava je organizirana u jutarnjoj smjeni. Svi oblici nastave; redovna, izborna, dodatna i dopunska, izvode se sukladno nastavnim planovima i programima koje je donijelo Ministarstvo znanosti i obrazovanja, sukladno Godišnjem planu i programu r</w:t>
      </w:r>
      <w:r>
        <w:rPr>
          <w:rFonts w:ascii="Arial" w:hAnsi="Arial" w:cs="Arial"/>
          <w:sz w:val="24"/>
          <w:szCs w:val="24"/>
        </w:rPr>
        <w:t xml:space="preserve">ada škole za školsku godinu 2024./2025</w:t>
      </w:r>
      <w:r>
        <w:rPr>
          <w:rFonts w:ascii="Arial" w:hAnsi="Arial" w:cs="Arial"/>
          <w:sz w:val="24"/>
          <w:szCs w:val="24"/>
        </w:rPr>
        <w:t xml:space="preserve">. te prema školskom kurikulumu za školsku </w:t>
      </w:r>
      <w:r>
        <w:rPr>
          <w:rFonts w:ascii="Arial" w:hAnsi="Arial" w:cs="Arial"/>
          <w:sz w:val="24"/>
          <w:szCs w:val="24"/>
        </w:rPr>
        <w:t xml:space="preserve">godinu 2024./2025</w:t>
      </w:r>
      <w:r>
        <w:rPr>
          <w:rFonts w:ascii="Arial" w:hAnsi="Arial" w:cs="Arial"/>
          <w:sz w:val="24"/>
          <w:szCs w:val="24"/>
        </w:rPr>
        <w:t xml:space="preserve">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školskoj godini 2024./2025</w:t>
      </w:r>
      <w:r>
        <w:rPr>
          <w:rFonts w:ascii="Arial" w:hAnsi="Arial" w:cs="Arial"/>
          <w:sz w:val="24"/>
          <w:szCs w:val="24"/>
        </w:rPr>
        <w:t xml:space="preserve">. u školi je zaposleno oko 50 zaposlenika od čega </w:t>
      </w:r>
      <w:r>
        <w:rPr>
          <w:rFonts w:ascii="Arial" w:hAnsi="Arial" w:cs="Arial"/>
          <w:sz w:val="24"/>
          <w:szCs w:val="24"/>
        </w:rPr>
        <w:t xml:space="preserve">2</w:t>
      </w:r>
      <w:r>
        <w:rPr>
          <w:rFonts w:ascii="Arial" w:hAnsi="Arial" w:cs="Arial"/>
          <w:sz w:val="24"/>
          <w:szCs w:val="24"/>
        </w:rPr>
        <w:t xml:space="preserve"> pomoćnika u nastavi, ravnatelj, tajnik, v</w:t>
      </w:r>
      <w:r>
        <w:rPr>
          <w:rFonts w:ascii="Arial" w:hAnsi="Arial" w:cs="Arial"/>
          <w:sz w:val="24"/>
          <w:szCs w:val="24"/>
        </w:rPr>
        <w:t xml:space="preserve">oditelj računovodstva, pedagog, </w:t>
      </w:r>
      <w:r>
        <w:rPr>
          <w:rFonts w:ascii="Arial" w:hAnsi="Arial" w:cs="Arial"/>
          <w:sz w:val="24"/>
          <w:szCs w:val="24"/>
        </w:rPr>
        <w:t xml:space="preserve">knjižničar, domar, kuharica i pomoćna kuharica te 6 spremačica dok ostatak čine učitelji od 1.-4. razreda i nastavnici od 5.-8. razreda. Matična škola u Gračacu broji 1</w:t>
      </w:r>
      <w:r>
        <w:rPr>
          <w:rFonts w:ascii="Arial" w:hAnsi="Arial" w:cs="Arial"/>
          <w:sz w:val="24"/>
          <w:szCs w:val="24"/>
        </w:rPr>
        <w:t xml:space="preserve">85 učenika u 12</w:t>
      </w:r>
      <w:r>
        <w:rPr>
          <w:rFonts w:ascii="Arial" w:hAnsi="Arial" w:cs="Arial"/>
          <w:sz w:val="24"/>
          <w:szCs w:val="24"/>
        </w:rPr>
        <w:t xml:space="preserve"> razrednih odjeljenja dok područnu školu u Srbu pohađa 17 učenika u 2 razredna </w:t>
      </w:r>
      <w:r>
        <w:rPr>
          <w:rFonts w:ascii="Arial" w:hAnsi="Arial" w:cs="Arial"/>
          <w:sz w:val="24"/>
          <w:szCs w:val="24"/>
        </w:rPr>
        <w:t xml:space="preserve">odjeljenja u kojima se odvija kombinirana nastava.</w:t>
      </w:r>
      <w:r>
        <w:rPr>
          <w:rFonts w:ascii="Arial" w:hAnsi="Arial" w:cs="Arial"/>
          <w:sz w:val="24"/>
          <w:szCs w:val="24"/>
        </w:rPr>
        <w:t xml:space="preserve"> Od ukupnog broja učenika njih čak 104 su putnici.</w:t>
      </w:r>
    </w:p>
    <w:p>
      <w:pPr>
        <w:spacing/>
        <w:jc w:val="both"/>
        <w:rPr/>
      </w:pPr>
      <w:r>
        <w:rPr/>
        <w:t xml:space="preserve"> 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PROGRAMA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Nikole Tesle svoj rad provodi kroz sljedeće programe: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2202 Osnovno školstvo -  standard</w:t>
      </w:r>
    </w:p>
    <w:p>
      <w:pPr>
        <w:pStyle w:val="ListParagraph"/>
        <w:numPr>
          <w:ilvl w:val="0"/>
          <w:numId w:val="6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A2202 – 01: Djelatnost osnovnih škola</w:t>
      </w:r>
    </w:p>
    <w:p>
      <w:pPr>
        <w:pStyle w:val="ListParagraph"/>
        <w:numPr>
          <w:ilvl w:val="0"/>
          <w:numId w:val="6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Tekući projekt 2202-03: Hitne intervencije u osnovnim školama</w:t>
      </w:r>
    </w:p>
    <w:p>
      <w:pPr>
        <w:pStyle w:val="ListParagraph"/>
        <w:numPr>
          <w:ilvl w:val="0"/>
          <w:numId w:val="6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A2202 – 04: Administracija i upravljanje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2203 – Osnovno školstvo – iznad standarda</w:t>
      </w:r>
    </w:p>
    <w:p>
      <w:pPr>
        <w:pStyle w:val="ListParagraph"/>
        <w:numPr>
          <w:ilvl w:val="0"/>
          <w:numId w:val="4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A2203 – 01: Javne potrebe u prosvjeti – korisnici</w:t>
      </w:r>
    </w:p>
    <w:p>
      <w:pPr>
        <w:pStyle w:val="ListParagraph"/>
        <w:numPr>
          <w:ilvl w:val="0"/>
          <w:numId w:val="4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A2203 – 04: Podizanje kvalitete i standarda u školstvu</w:t>
      </w:r>
    </w:p>
    <w:p>
      <w:pPr>
        <w:pStyle w:val="ListParagraph"/>
        <w:numPr>
          <w:ilvl w:val="0"/>
          <w:numId w:val="4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A2203 – 27: Udžbenici</w:t>
      </w:r>
    </w:p>
    <w:p>
      <w:pPr>
        <w:pStyle w:val="ListParagraph"/>
        <w:numPr>
          <w:ilvl w:val="0"/>
          <w:numId w:val="4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2203-33: Prehrana za učenike</w:t>
      </w:r>
    </w:p>
    <w:p>
      <w:pPr>
        <w:pStyle w:val="ListParagraph"/>
        <w:numPr>
          <w:ilvl w:val="0"/>
          <w:numId w:val="4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2203-34: Zalihe menstrualnih higijenskih potrepština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 treba izdvojiti program EU: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4306 - Nacionalni EU projekti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Tekući projekt T4306 – 03: Inkluzija – korak</w:t>
      </w:r>
      <w:r>
        <w:rPr>
          <w:rFonts w:ascii="Times New Roman" w:hAnsi="Times New Roman" w:cs="Times New Roman"/>
          <w:sz w:val="24"/>
          <w:szCs w:val="24"/>
        </w:rPr>
        <w:t xml:space="preserve"> bliže društvu bez prepreka 2024./2025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navedene programe prioritet je osigurati kvalitetno obrazovanje i odgoj za učenike na sljedeće načine:</w:t>
      </w:r>
    </w:p>
    <w:p>
      <w:pPr>
        <w:pStyle w:val="ListParagraph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Stalnim usavršavanjem nastavnika</w:t>
      </w:r>
    </w:p>
    <w:p>
      <w:pPr>
        <w:pStyle w:val="ListParagraph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Poticanjem učenika na otkrivanje i iskazivanje njihove kreativnosti, talenata i sposobnosti, kroz poticanje na njihovo uključivanje u slobodne aktivnosti, natjecanja, školske projekte, priredbe, razne manifestacije</w:t>
      </w:r>
    </w:p>
    <w:p>
      <w:pPr>
        <w:pStyle w:val="ListParagraph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Organiziranjem izvannastavnih aktivnosti u koje su jednako uključeni kako nastavnici tako i učenici</w:t>
      </w:r>
    </w:p>
    <w:p>
      <w:pPr>
        <w:pStyle w:val="ListParagraph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Odlascima na jednodnevne i višednevne terenske nastave i izlete</w:t>
      </w:r>
    </w:p>
    <w:p>
      <w:pPr>
        <w:spacing/>
        <w:jc w:val="both"/>
        <w:rPr>
          <w:b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2202 Osnovno školstvo -  standard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853"/>
        <w:gridCol w:w="1276"/>
        <w:gridCol w:w="1275"/>
        <w:gridCol w:w="1418"/>
        <w:gridCol w:w="1353"/>
      </w:tblGrid>
      <w:tr>
        <w:trPr>
          <w:trHeight w:val="757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2024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2026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2027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Indeks 2025./2024.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A2202 – 01:Djelatnost osnovnih škola</w:t>
            </w: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279.543,15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279.543,15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283.736,29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287.929,45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Tekući projekt 2022-03:Hitne intervencije u osnovnim školama</w:t>
            </w: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A2202 –04: Administracija i upravljanje</w:t>
            </w: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1.099.724,20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1.124.484,16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1.141.351,42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1.158.218,68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107,01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b/>
          <w:sz w:val="24"/>
          <w:szCs w:val="24"/>
        </w:rPr>
        <w:t xml:space="preserve">Osnovno školstvo-standard </w:t>
      </w:r>
      <w:r>
        <w:rPr>
          <w:rFonts w:ascii="Times New Roman" w:hAnsi="Times New Roman" w:cs="Times New Roman"/>
          <w:sz w:val="24"/>
          <w:szCs w:val="24"/>
        </w:rPr>
        <w:t xml:space="preserve">podijeljen je u dvije aktivnosti i jedan tekući projekt: </w:t>
      </w:r>
      <w:r>
        <w:rPr>
          <w:rFonts w:ascii="Times New Roman" w:hAnsi="Times New Roman" w:cs="Times New Roman"/>
          <w:b/>
          <w:sz w:val="24"/>
          <w:szCs w:val="24"/>
        </w:rPr>
        <w:t xml:space="preserve">Djelatnost osnovnih škola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</w:rPr>
        <w:t xml:space="preserve">Administracija i upravljanje </w:t>
      </w:r>
      <w:r>
        <w:rPr>
          <w:rFonts w:ascii="Times New Roman" w:hAnsi="Times New Roman" w:cs="Times New Roman"/>
          <w:sz w:val="24"/>
          <w:szCs w:val="24"/>
        </w:rPr>
        <w:t xml:space="preserve">te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 Hitne intervencije u osnovnim školama.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po aktivnosti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Djelatnost osnovnih škola</w:t>
      </w:r>
      <w:r>
        <w:rPr>
          <w:rFonts w:ascii="Times New Roman" w:hAnsi="Times New Roman" w:cs="Times New Roman"/>
          <w:sz w:val="24"/>
          <w:szCs w:val="24"/>
        </w:rPr>
        <w:t xml:space="preserve"> namijenjen je financiranju decentraliziranog dijela financijskog plana, odnosno financiranju općih troškova neophodnih za rad i obavljan</w:t>
      </w:r>
      <w:r>
        <w:rPr>
          <w:rFonts w:ascii="Times New Roman" w:hAnsi="Times New Roman" w:cs="Times New Roman"/>
          <w:sz w:val="24"/>
          <w:szCs w:val="24"/>
        </w:rPr>
        <w:t xml:space="preserve">je djelatnosti škole.</w:t>
      </w:r>
      <w:r>
        <w:rP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</w:t>
      </w:r>
      <w:r>
        <w:rPr>
          <w:rFonts w:ascii="Times New Roman" w:hAnsi="Times New Roman" w:cs="Times New Roman"/>
          <w:sz w:val="24"/>
          <w:szCs w:val="24"/>
        </w:rPr>
        <w:t xml:space="preserve">s 2024. </w:t>
      </w:r>
      <w:r>
        <w:rPr>
          <w:rFonts w:ascii="Times New Roman" w:hAnsi="Times New Roman" w:cs="Times New Roman"/>
          <w:sz w:val="24"/>
          <w:szCs w:val="24"/>
        </w:rPr>
        <w:t xml:space="preserve">godine nije prvotno planirani iznos već je to iznos utvrđen rebalansom tj. izmjenom i dopunom financijskog plana.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Ova aktivnost financira se isključivo županijskim sredstvima, a s obzirom na inflaciju i ekonomsko stanje koje se očekuje u narednom razdoblju upitna je dostatnost sredstava za plaćanje troškova kao i u prethodnoj godini. 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Administracija i upravljanje</w:t>
      </w:r>
      <w:r>
        <w:rPr>
          <w:rFonts w:ascii="Times New Roman" w:hAnsi="Times New Roman" w:cs="Times New Roman"/>
          <w:sz w:val="24"/>
          <w:szCs w:val="24"/>
        </w:rPr>
        <w:t xml:space="preserve"> namijenjena je financiranju rashoda za zaposlenike koja obuhvaća plaće za redovan rad, ostale rashode za zaposlene (jubilarne nagrade, regres, pomoći u slučaju smrti člana obitelji, duže bolovanje, otpremnine, mentorstvo), doprinos za obvezno zdravstveno osiguranje, naknade za prijevoz na posao i posla, novčanu nak.posl. zbog nezapošljavanja osoba za invaliditetom, a financira se sredstvima Ministarstva znanosti, ob</w:t>
      </w:r>
      <w:r>
        <w:rPr>
          <w:rFonts w:ascii="Times New Roman" w:hAnsi="Times New Roman" w:cs="Times New Roman"/>
          <w:sz w:val="24"/>
          <w:szCs w:val="24"/>
        </w:rPr>
        <w:t xml:space="preserve">razovanja i športa. </w:t>
      </w:r>
      <w:r>
        <w:rPr>
          <w:rFonts w:ascii="Times New Roman" w:hAnsi="Times New Roman" w:cs="Times New Roman"/>
          <w:sz w:val="24"/>
          <w:szCs w:val="24"/>
        </w:rPr>
        <w:t xml:space="preserve">Tekući projekt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Hitne intervencije u osnovnim školama </w:t>
      </w:r>
      <w:r>
        <w:rPr>
          <w:rFonts w:ascii="Times New Roman" w:hAnsi="Times New Roman" w:cs="Times New Roman"/>
          <w:sz w:val="24"/>
          <w:szCs w:val="24"/>
        </w:rPr>
        <w:t xml:space="preserve">dio su financijskog plana za spomenuto razdoblje, ali nisu planirani iznosi s obzirom na činjenicu da u okviru ovog projekta županija na zahtjev škole odobrava ili ne odobrava tražena sredstva.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2203 – Osnovno školstvo – iznad standarda</w:t>
      </w:r>
    </w:p>
    <w:tbl>
      <w:tblPr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1417"/>
        <w:gridCol w:w="1418"/>
        <w:gridCol w:w="1353"/>
      </w:tblGrid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2024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2026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2027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Indeks 2025./2026.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A2203 – 01: Javne potrebe u prosvjeti – korisnici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A2203 – 04: Podizanje kvalitete i standarda u školstvu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17.846,93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8.967,60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9.102,11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9.236,64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50,25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A2203 – 27: Udžbenici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34.608,28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16.547,25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16.795,46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17.043,67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47,81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2203-33: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Prehrana za učenike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43.568,25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43.568,25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44.221,77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44.875,30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2203-34: Zalihe menstrualnih higijenskih potrepština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Osnovno školstvo – iznad standarda </w:t>
      </w:r>
      <w:r>
        <w:rPr>
          <w:rFonts w:ascii="Times New Roman" w:hAnsi="Times New Roman" w:cs="Times New Roman"/>
          <w:sz w:val="24"/>
          <w:szCs w:val="24"/>
        </w:rPr>
        <w:t xml:space="preserve">uključene su sljedeće aktivnosti: </w:t>
      </w:r>
      <w:r>
        <w:rPr>
          <w:rFonts w:ascii="Times New Roman" w:hAnsi="Times New Roman" w:cs="Times New Roman"/>
          <w:b/>
          <w:sz w:val="24"/>
          <w:szCs w:val="24"/>
        </w:rPr>
        <w:t xml:space="preserve">Javne potrebe u prosvjeti-korisnici, Podizanje kvalitete i standarda u školstvu, Udžbenici, Prehrana za učenike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b/>
          <w:sz w:val="24"/>
          <w:szCs w:val="24"/>
        </w:rPr>
        <w:t xml:space="preserve"> Zalihe menstrualnih higijenskih potrepština.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Javne potrebe u prosvjeti – korisnici</w:t>
      </w:r>
      <w:r>
        <w:rPr>
          <w:rFonts w:ascii="Times New Roman" w:hAnsi="Times New Roman" w:cs="Times New Roman"/>
          <w:sz w:val="24"/>
          <w:szCs w:val="24"/>
        </w:rPr>
        <w:t xml:space="preserve"> predstavlja aktivnost za koju se aplicira kako bi</w:t>
      </w:r>
      <w:r>
        <w:rPr>
          <w:rFonts w:ascii="Times New Roman" w:hAnsi="Times New Roman" w:cs="Times New Roman"/>
          <w:sz w:val="24"/>
          <w:szCs w:val="24"/>
        </w:rPr>
        <w:t xml:space="preserve"> se financirale određene sfere poput školske učeničke zadruge i slično. </w:t>
      </w:r>
      <w:r>
        <w:rPr>
          <w:rFonts w:ascii="Times New Roman" w:hAnsi="Times New Roman" w:cs="Times New Roman"/>
          <w:sz w:val="24"/>
          <w:szCs w:val="24"/>
        </w:rPr>
        <w:t xml:space="preserve">Ona nis</w:t>
      </w:r>
      <w:r>
        <w:rPr>
          <w:rFonts w:ascii="Times New Roman" w:hAnsi="Times New Roman" w:cs="Times New Roman"/>
          <w:sz w:val="24"/>
          <w:szCs w:val="24"/>
        </w:rPr>
        <w:t xml:space="preserve">u planirana unaprijed, a za 2024</w:t>
      </w:r>
      <w:r>
        <w:rPr>
          <w:rFonts w:ascii="Times New Roman" w:hAnsi="Times New Roman" w:cs="Times New Roman"/>
          <w:sz w:val="24"/>
          <w:szCs w:val="24"/>
        </w:rPr>
        <w:t xml:space="preserve">. godinu odob</w:t>
      </w:r>
      <w:r>
        <w:rPr>
          <w:rFonts w:ascii="Times New Roman" w:hAnsi="Times New Roman" w:cs="Times New Roman"/>
          <w:sz w:val="24"/>
          <w:szCs w:val="24"/>
        </w:rPr>
        <w:t xml:space="preserve">rena su sredstva u iznosu od 750</w:t>
      </w:r>
      <w:r>
        <w:rPr>
          <w:rFonts w:ascii="Times New Roman" w:hAnsi="Times New Roman" w:cs="Times New Roman"/>
          <w:sz w:val="24"/>
          <w:szCs w:val="24"/>
        </w:rPr>
        <w:t xml:space="preserve">,00 EUR.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Podizanje kvalitete i standarda u školstvu</w:t>
      </w:r>
      <w:r>
        <w:rPr>
          <w:rFonts w:ascii="Times New Roman" w:hAnsi="Times New Roman" w:cs="Times New Roman"/>
          <w:sz w:val="24"/>
          <w:szCs w:val="24"/>
        </w:rPr>
        <w:t xml:space="preserve"> uključuje rashode koji se pokrivaju i iz vlastitih prihoda škole, viškova/manjkova, prihoda za posebne namjene, pro</w:t>
      </w:r>
      <w:r>
        <w:rPr>
          <w:rFonts w:ascii="Times New Roman" w:hAnsi="Times New Roman" w:cs="Times New Roman"/>
          <w:sz w:val="24"/>
          <w:szCs w:val="24"/>
        </w:rPr>
        <w:t xml:space="preserve">računa JLS, ali i od strane MZO</w:t>
      </w:r>
      <w:r>
        <w:rPr>
          <w:rFonts w:ascii="Times New Roman" w:hAnsi="Times New Roman" w:cs="Times New Roman"/>
          <w:sz w:val="24"/>
          <w:szCs w:val="24"/>
        </w:rPr>
        <w:t xml:space="preserve">-a. 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Udžbenici</w:t>
      </w:r>
      <w:r>
        <w:rPr>
          <w:rFonts w:ascii="Times New Roman" w:hAnsi="Times New Roman" w:cs="Times New Roman"/>
          <w:sz w:val="24"/>
          <w:szCs w:val="24"/>
        </w:rPr>
        <w:t xml:space="preserve"> financirana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sredstvima Minista</w:t>
      </w:r>
      <w:r>
        <w:rPr>
          <w:rFonts w:ascii="Times New Roman" w:hAnsi="Times New Roman" w:cs="Times New Roman"/>
          <w:sz w:val="24"/>
          <w:szCs w:val="24"/>
        </w:rPr>
        <w:t xml:space="preserve">rstva. </w:t>
      </w:r>
      <w:r>
        <w:rPr>
          <w:rFonts w:ascii="Times New Roman" w:hAnsi="Times New Roman" w:cs="Times New Roman"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Zalihe menstrualnih higijenskih potrepština </w:t>
      </w:r>
      <w:r>
        <w:rPr>
          <w:rFonts w:ascii="Times New Roman" w:hAnsi="Times New Roman" w:cs="Times New Roman"/>
          <w:sz w:val="24"/>
          <w:szCs w:val="24"/>
        </w:rPr>
        <w:t xml:space="preserve">financiraju se doznačenim sredstvima Ministarstva rada, mirovinskog sustava, obitelj</w:t>
      </w:r>
      <w:r>
        <w:rPr>
          <w:rFonts w:ascii="Times New Roman" w:hAnsi="Times New Roman" w:cs="Times New Roman"/>
          <w:sz w:val="24"/>
          <w:szCs w:val="24"/>
        </w:rPr>
        <w:t xml:space="preserve">i i socijalne politike. U 2024</w:t>
      </w:r>
      <w:r>
        <w:rPr>
          <w:rFonts w:ascii="Times New Roman" w:hAnsi="Times New Roman" w:cs="Times New Roman"/>
          <w:sz w:val="24"/>
          <w:szCs w:val="24"/>
        </w:rPr>
        <w:t xml:space="preserve">. godini doznačeno je </w:t>
      </w:r>
      <w:r>
        <w:rPr>
          <w:rFonts w:ascii="Times New Roman" w:hAnsi="Times New Roman" w:cs="Times New Roman"/>
          <w:sz w:val="24"/>
          <w:szCs w:val="24"/>
        </w:rPr>
        <w:t xml:space="preserve">490,50 EUR dok za 2025.,2026. i 2027</w:t>
      </w:r>
      <w:r>
        <w:rPr>
          <w:rFonts w:ascii="Times New Roman" w:hAnsi="Times New Roman" w:cs="Times New Roman"/>
          <w:sz w:val="24"/>
          <w:szCs w:val="24"/>
        </w:rPr>
        <w:t xml:space="preserve">. godinu nisu planirana sredstva.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4306 - Nacionalni EU projekti</w:t>
      </w: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275"/>
        <w:gridCol w:w="1418"/>
        <w:gridCol w:w="1276"/>
        <w:gridCol w:w="1275"/>
      </w:tblGrid>
      <w:tr>
        <w:trPr>
          <w:trHeight w:val="702" w:hRule="atLeast"/>
          <w:jc w:val="center"/>
        </w:trPr>
        <w:tc>
          <w:tcPr>
            <w:tcW w:type="dxa" w:w="240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2024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2026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2027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Indeks 2025./2024.</w:t>
            </w:r>
          </w:p>
        </w:tc>
      </w:tr>
      <w:tr>
        <w:trPr>
          <w:trHeight w:val="702" w:hRule="atLeast"/>
          <w:jc w:val="center"/>
        </w:trPr>
        <w:tc>
          <w:tcPr>
            <w:tcW w:type="dxa" w:w="240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Tekući projekt T4306 – 03: Inkluzija – korak</w:t>
            </w:r>
            <w:r>
              <w:rPr>
                <w:rFonts w:ascii="Times New Roman" w:hAnsi="Times New Roman" w:cs="Times New Roman"/>
              </w:rPr>
              <w:t xml:space="preserve"> bliže društvu bez prepreka 2024./2025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34.655,99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34.655,99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35.175,83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35.695,67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Inkluzija – korak bliže društvu bez prepreka</w:t>
      </w:r>
      <w:r>
        <w:rPr>
          <w:rFonts w:ascii="Times New Roman" w:hAnsi="Times New Roman" w:cs="Times New Roman"/>
          <w:sz w:val="24"/>
          <w:szCs w:val="24"/>
        </w:rPr>
        <w:t xml:space="preserve"> europski je nacionalni projekt kojim se promiče kvaliteta rada učenika s poteškoćama. Prij</w:t>
      </w:r>
      <w:r>
        <w:rPr>
          <w:rFonts w:ascii="Times New Roman" w:hAnsi="Times New Roman" w:cs="Times New Roman"/>
          <w:sz w:val="24"/>
          <w:szCs w:val="24"/>
        </w:rPr>
        <w:t xml:space="preserve">avom na projekt odobren je rad dvama</w:t>
      </w:r>
      <w:r>
        <w:rPr>
          <w:rFonts w:ascii="Times New Roman" w:hAnsi="Times New Roman" w:cs="Times New Roman"/>
          <w:sz w:val="24"/>
          <w:szCs w:val="24"/>
        </w:rPr>
        <w:t xml:space="preserve"> pomoćnika u nastavi koji </w:t>
      </w:r>
      <w:r>
        <w:rPr>
          <w:rFonts w:ascii="Times New Roman" w:hAnsi="Times New Roman" w:cs="Times New Roman"/>
          <w:sz w:val="24"/>
          <w:szCs w:val="24"/>
        </w:rPr>
        <w:t xml:space="preserve">pomažu određenim učenicima prilikom samog rada i učenja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Zakonske i druge pravne osnove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lokalnoj i područnoj (regionalnoj) samoupravi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plaćama u </w:t>
      </w:r>
      <w:r>
        <w:rPr>
          <w:rFonts w:ascii="Times New Roman" w:hAnsi="Times New Roman" w:cs="Times New Roman"/>
          <w:sz w:val="24"/>
          <w:szCs w:val="24"/>
        </w:rPr>
        <w:t xml:space="preserve">državnoj službi </w:t>
      </w:r>
      <w:r>
        <w:rPr>
          <w:rFonts w:ascii="Times New Roman" w:hAnsi="Times New Roman" w:cs="Times New Roman"/>
          <w:sz w:val="24"/>
          <w:szCs w:val="24"/>
        </w:rPr>
        <w:t xml:space="preserve">javnim službama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Uredba o raspodjeli dodatnih sredstava za plaće učitelja i nastavnika u osnovnom školstvu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Temeljni kolektivni ugovor za zaposlenike u javnim službama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Kolektivni ugovor za zaposlenike u osnovnoškolskim ustanovama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radu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školi, NN, br. 87/08, 86/09, 92/140, 105/10, 90/11, 5/12, 16/12, 86/12, 126/12, 94/13, 152/14, 07/17, 68/18, 98/19, 64/20, 151/22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155/23, 156/23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ustanovama, NN, br. 76/93., 29/97., 47/99., 35/08., 127/19, 151/22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proračunu (Narodne novine, br. 144/21)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Pravilnik o polugodišnjem i godišnjem izvještaju o izvršenju proračuna (Narodne novine, br. 24/13, 102/17, 1/20 i 147/20)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Pravilnik o financijskom izvještavanju u proračunskom računovodstvu (Narodne novine, br. 3/15, 93/15, 135/15, 2/17, 28/17, 112/18 i 126/19)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Pravilnik o proračunskim klasifikacijama (Narodne novine, br. 26/10,120/13 i 1/20)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Pravilnik o proračunskom računovodstvu i računskom planu (Narodne novine, br. 124/14, 115/15, 87/16, 3/18, i 126/19)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Uredba o sastavljanju i predaji Izjave o fiskalnoj odgovornosti i izvještaja o primjeni fiskalnih pravila (Narodne novine, br. 95/19)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Upute za izradu prijedloga proračuna i financijskih planova upravnih tijela, proračunskih i izvanproračunskih korisnika Zad</w:t>
      </w:r>
      <w:r>
        <w:rPr>
          <w:rFonts w:ascii="Times New Roman" w:hAnsi="Times New Roman" w:cs="Times New Roman"/>
          <w:sz w:val="24"/>
          <w:szCs w:val="24"/>
        </w:rPr>
        <w:t xml:space="preserve">arske županije za razdoblje 2025.-2027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Škole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plan i program r</w:t>
      </w:r>
      <w:r>
        <w:rPr>
          <w:rFonts w:ascii="Times New Roman" w:hAnsi="Times New Roman" w:cs="Times New Roman"/>
          <w:sz w:val="24"/>
          <w:szCs w:val="24"/>
        </w:rPr>
        <w:t xml:space="preserve">ada škole za školsku godinu 2024./2025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</w:t>
      </w:r>
      <w:r>
        <w:rPr>
          <w:rFonts w:ascii="Times New Roman" w:hAnsi="Times New Roman" w:cs="Times New Roman"/>
          <w:sz w:val="24"/>
          <w:szCs w:val="24"/>
        </w:rPr>
        <w:t xml:space="preserve">kurikulum za školsku godinu 2024./2025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Usklađenost ciljeva, strategije i programa s dokumentima dugoročnog razvoja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Školske ustanove s obzirom na prirodu svog poslovanja ne donose strateške planove i ciljeve, već godišnje operativne planove i školski kurikulum prema planu i programu koje je donijelo Ministarstvo znanosti i obrazovanja. Ciljevi i programi MZO-a kao i jedinice lokalne (regionalne) samouprave usklađeni su sa ciljevima i programima školske ustanove.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Planovi sa ciljem realizacije se donose za nastavnu, a ne fiskalnu godinu.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Ishodišta i pokazatelji na kojima se zasnivaju izračuni i ocjene potrebnih sredstava za provođenje programa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Izvori sredstava za financiranje rada Osnovne škole Nikole tesle u Gračacu su:</w:t>
      </w:r>
    </w:p>
    <w:p>
      <w:pPr>
        <w:pStyle w:val="ListParagraph"/>
        <w:numPr>
          <w:ilvl w:val="0"/>
          <w:numId w:val="7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proračunskim korisnicima iz proračuna koji im nije nadležan, skupina 636, državni proračun za financiranje rada zaposlenih radnika – plaće i ostala nematerijalna prava</w:t>
      </w:r>
    </w:p>
    <w:p>
      <w:pPr>
        <w:pStyle w:val="ListParagraph"/>
        <w:numPr>
          <w:ilvl w:val="0"/>
          <w:numId w:val="7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prihodi i primici, skupina 671, županijski proračun za mat</w:t>
      </w:r>
      <w:r>
        <w:rPr>
          <w:rFonts w:ascii="Times New Roman" w:hAnsi="Times New Roman" w:cs="Times New Roman"/>
          <w:sz w:val="24"/>
          <w:szCs w:val="24"/>
        </w:rPr>
        <w:t xml:space="preserve">erijalne troškove poslovanja, </w:t>
      </w:r>
      <w:r>
        <w:rPr>
          <w:rFonts w:ascii="Times New Roman" w:hAnsi="Times New Roman" w:cs="Times New Roman"/>
          <w:sz w:val="24"/>
          <w:szCs w:val="24"/>
        </w:rPr>
        <w:t xml:space="preserve">održavanje</w:t>
      </w:r>
      <w:r>
        <w:rPr>
          <w:rFonts w:ascii="Times New Roman" w:hAnsi="Times New Roman" w:cs="Times New Roman"/>
          <w:sz w:val="24"/>
          <w:szCs w:val="24"/>
        </w:rPr>
        <w:t xml:space="preserve"> i obnovu nefinancijske imovine te plaće.</w:t>
      </w:r>
    </w:p>
    <w:p>
      <w:pPr>
        <w:pStyle w:val="ListParagraph"/>
        <w:numPr>
          <w:ilvl w:val="0"/>
          <w:numId w:val="7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od najma prostora zgrade Škole </w:t>
      </w:r>
      <w:r>
        <w:rPr>
          <w:rFonts w:ascii="Times New Roman" w:hAnsi="Times New Roman" w:cs="Times New Roman"/>
          <w:sz w:val="24"/>
          <w:szCs w:val="24"/>
        </w:rPr>
        <w:t xml:space="preserve">(iznajmljivanje školske dvorane</w:t>
      </w:r>
      <w:r>
        <w:rPr>
          <w:rFonts w:ascii="Times New Roman" w:hAnsi="Times New Roman" w:cs="Times New Roman"/>
          <w:sz w:val="24"/>
          <w:szCs w:val="24"/>
        </w:rPr>
        <w:t xml:space="preserve">) kao i prostor školskog dvorišta sa mogućnošću zakupa sa svrhom provedbe dodatnih aktivnosti škole prema Planu i programu te obnovu nefinancijske imovine.</w:t>
      </w:r>
    </w:p>
    <w:p>
      <w:pPr>
        <w:pStyle w:val="ListParagraph"/>
        <w:numPr>
          <w:ilvl w:val="0"/>
          <w:numId w:val="7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Prijenosi između proračunskih korisnika istog proračuna, skupina 639 – tekući prijenosi između proračunskih korisnika istog proračuna temeljem prijenosa EU sredstava.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Prihodi od županije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rashodima iz kategorije općih troškova planirali smo troškove prema prioritetima funkcioniranja škole. </w:t>
      </w:r>
      <w:r>
        <w:rPr>
          <w:rFonts w:ascii="Times New Roman" w:hAnsi="Times New Roman" w:cs="Times New Roman"/>
          <w:sz w:val="24"/>
          <w:szCs w:val="24"/>
        </w:rPr>
        <w:t xml:space="preserve">U financijskom planu za 2025. godinu u odnosu na prethodne godine Škola nije imala zadane limite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Vlastiti prihodi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će se koristiti prvenstveno za potrebe redovitog poslovanja u slučaju nedostatka financijskih sredstava iz županijskog proračuna te za obnovu i nabavu nefinancijske imovine.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Višak prihoda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iz prethodne godine nije planiran u financijskom planu za 2025. godinu već će sukladno odluci o rasporedu sredstava biti naknadno raspoređen po pozicijama.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Prihodi po posebnim propisima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posebnim propisima će se koristiti za poboljšanje učeničkog standarda.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Pomoći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Prihode od pomoći koji će se koristiti isključivo namjenski čine prihodi od nadležnog ministarstva za plaće, materi</w:t>
      </w:r>
      <w:r>
        <w:rPr>
          <w:rFonts w:ascii="Times New Roman" w:hAnsi="Times New Roman" w:cs="Times New Roman"/>
          <w:sz w:val="24"/>
          <w:szCs w:val="24"/>
        </w:rPr>
        <w:t xml:space="preserve">jalna prava kao i nabavu udžbenika, prehranu učenika te zalihe menstrualnih higijenskih potrepština.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Gračacu, 16</w:t>
      </w:r>
      <w:r>
        <w:rPr>
          <w:rFonts w:ascii="Times New Roman" w:hAnsi="Times New Roman" w:cs="Times New Roman"/>
          <w:sz w:val="24"/>
          <w:szCs w:val="24"/>
        </w:rPr>
        <w:t xml:space="preserve">.10.202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godine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Ravnateljica:</w:t>
      </w:r>
    </w:p>
    <w:p>
      <w:pPr>
        <w:tabs>
          <w:tab w:val="left" w:pos="7815"/>
        </w:tabs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______________________</w:t>
      </w:r>
    </w:p>
    <w:p>
      <w:pPr>
        <w: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Slavica Miočić, dipl. ing.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564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33BD177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42CE0A9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55FF6A2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B866F3F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F3364A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20" w:line="240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AD92-C807-4862-A8D6-36DBC4097C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6</Pages>
  <Words>1967</Words>
  <Characters>11215</Characters>
  <Application>Microsoft Office Word</Application>
  <DocSecurity>0</DocSecurity>
  <Lines>93</Lines>
  <Paragraphs>26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Duška Ćopić</cp:lastModifiedBy>
  <cp:revision>2</cp:revision>
  <dcterms:created xsi:type="dcterms:W3CDTF">2024-10-17T06:51:00Z</dcterms:created>
  <dcterms:modified xsi:type="dcterms:W3CDTF">2024-10-17T06:51:00Z</dcterms:modified>
</cp:coreProperties>
</file>