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61" w:rsidRDefault="00DB79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B7961" w:rsidRDefault="005C6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B7961">
        <w:tc>
          <w:tcPr>
            <w:tcW w:w="6379" w:type="dxa"/>
          </w:tcPr>
          <w:p w:rsidR="00DB7961" w:rsidRDefault="005C6053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NIKOLE TESLE GRAČAC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7961" w:rsidRDefault="005C6053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Školska 12, 23440 Gračac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400-04/25-01/2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2198-1-28-25-1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Gračac, 07. srpnja 2025.g. </w:t>
            </w:r>
          </w:p>
        </w:tc>
        <w:tc>
          <w:tcPr>
            <w:tcW w:w="2693" w:type="dxa"/>
          </w:tcPr>
          <w:p w:rsidR="00DB7961" w:rsidRDefault="005C6053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B7961" w:rsidRDefault="00DB79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7961" w:rsidRDefault="00DB79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RKP: 21254</w:t>
      </w: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Matični broj: 03312194</w:t>
      </w: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 22252625411</w:t>
      </w:r>
    </w:p>
    <w:p w:rsidR="004D4EF3" w:rsidRDefault="004D4EF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Nikole Tesle u Gračacu posluje u skladu sa Zakonom o odgoju i obrazovanju u osnovnoj i srednjoj školi te Statutom škole. Proračunsko računovodstvo vodi na temelju Pravilnika o proračunskom računovodstvu i računskom planu, a u skladu sa odredbama Pravilnika o financijskom izvještavanju u proračunskom računovodstvu sastavlja i predaje financijske izvještaje.</w:t>
      </w: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Financijski izvještaji predaju se u skladu s Okružnicom Ministarstva financija o sastavljanju, konsolidaciji i predaji financijskih izvještaja proračuna, proračunskih /izvanproračunskih korisnika državnog proračuna te proračunskih/izvanproračunskih korisnika proračuna jedinica lokalne i područne (regionalne) samouprave.</w:t>
      </w:r>
    </w:p>
    <w:p w:rsidR="00DB7961" w:rsidRDefault="00DB79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7961" w:rsidRDefault="005C60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Bilješke uz Izvještaj o prihodima i rashodima, primicima i izdacima</w:t>
      </w: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Ukupni prihodi poslovanja povećani su za 7% tijekom prve polovice 2025. godine u odnosu na prethodnu godinu dok ukupne rashode za isto promatrano razdoblje prati povećanje od 24,5%.</w:t>
      </w:r>
    </w:p>
    <w:p w:rsidR="004D4EF3" w:rsidRDefault="004D4E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B7961" w:rsidRDefault="005C60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Konto 636 – Pomoći proračunskim korisnicima iz proračuna koji im nije nadležan</w:t>
      </w:r>
    </w:p>
    <w:p w:rsidR="00DB7961" w:rsidRDefault="005C60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povećanja najvećim dijelom dolazi zbog povećanja osnovice za obračun plaća. Također, doznačeno je više sredstava za prehranu učenika u odnosu na prethodnu godinu.</w:t>
      </w: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 671 – Prihodi iz nadležnog proračuna za financiranje rashoda poslovanja</w:t>
      </w:r>
      <w:r>
        <w:rPr>
          <w:rFonts w:ascii="Arial" w:hAnsi="Arial" w:cs="Arial"/>
          <w:sz w:val="24"/>
          <w:szCs w:val="24"/>
        </w:rPr>
        <w:t xml:space="preserve"> – povećani su prihodi poslovanja tijekom prvih šest mjeseci tekuće godine iz razloga što su iz prethodne godine plaćeni određeni rashodi kao i zbog činjenice kako je uvećan iznos usluge prijevoznika za prijevoz učenika u odnosu na isto razdoblje prethodne godine.</w:t>
      </w: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Skupina 31 – Plaće, Konto 312 – Ostali rashodi za zaposlene, Konto 313 – Doprinosi na plaće</w:t>
      </w:r>
      <w:r>
        <w:rPr>
          <w:rFonts w:ascii="Arial" w:hAnsi="Arial" w:cs="Arial"/>
          <w:sz w:val="24"/>
          <w:szCs w:val="24"/>
        </w:rPr>
        <w:t xml:space="preserve"> – dolazi do povećanja rashoda zbog povećanja plaća zaposlenih. </w:t>
      </w: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Skupina 32 – Materijalni rashodi – </w:t>
      </w:r>
      <w:r>
        <w:rPr>
          <w:rFonts w:ascii="Arial" w:hAnsi="Arial" w:cs="Arial"/>
          <w:sz w:val="24"/>
          <w:szCs w:val="24"/>
        </w:rPr>
        <w:t>značajan rast troškova uredskog materijala iz rashoda što je revizijom poslovanja dana uputa da ono što se inače stavljalo pod Materijal i sirovine prebaci na Uredski materijal poput sredstava za čišćenje i slično.</w:t>
      </w:r>
    </w:p>
    <w:p w:rsidR="00DB7961" w:rsidRDefault="00DB79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7961" w:rsidRDefault="005C60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Bilješke uz Izvještaj o obvezama</w:t>
      </w: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Prenesene obveze iz 2024. godine iznose 104.628,07 E.</w:t>
      </w: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povećanja obveza najvećim dijelom dolazi zbog povećanje osnovice za obračun plaće, ali i zbog izdtaka glede materijalnih rashoda. Obveze za nefinancijsku imovinu iznose 2.847,50 E.</w:t>
      </w: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Stanje nedospjelih obveza, odnosno obveza na kraju izvještajnog razdoblja iznosi 149.720,71 E, a sadrže obveze za zaposlene kao i obveze za materijalne rashode.</w:t>
      </w:r>
    </w:p>
    <w:p w:rsidR="00DB7961" w:rsidRDefault="00DB79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7961" w:rsidRDefault="00DB79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računovodstva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Zakonski predstavnik:</w:t>
      </w:r>
    </w:p>
    <w:p w:rsidR="00DB7961" w:rsidRDefault="005C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Antonela Miletić, mag.oec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Slavica Miočić, dipl.ing.</w:t>
      </w:r>
    </w:p>
    <w:sectPr w:rsidR="00DB7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547E"/>
    <w:multiLevelType w:val="multilevel"/>
    <w:tmpl w:val="F258DE24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64401"/>
    <w:multiLevelType w:val="multilevel"/>
    <w:tmpl w:val="8A6A737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61"/>
    <w:rsid w:val="004D4EF3"/>
    <w:rsid w:val="005C6053"/>
    <w:rsid w:val="00D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C569"/>
  <w15:docId w15:val="{F54272F2-E8FB-4132-A4BB-9018397C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Miletić</dc:creator>
  <cp:keywords/>
  <dc:description/>
  <cp:lastModifiedBy>User</cp:lastModifiedBy>
  <cp:revision>3</cp:revision>
  <dcterms:created xsi:type="dcterms:W3CDTF">2025-07-08T06:28:00Z</dcterms:created>
  <dcterms:modified xsi:type="dcterms:W3CDTF">2025-07-10T06:37:00Z</dcterms:modified>
</cp:coreProperties>
</file>