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eastAsiaTheme="minorHAnsi"/>
          <w:color w:val="auto"/>
          <w:sz w:val="22"/>
          <w:lang w:eastAsia="en-US"/>
        </w:rPr>
      </w:pPr>
      <w:r>
        <w:rPr>
          <w:rFonts w:eastAsiaTheme="minorHAnsi"/>
          <w:b/>
          <w:color w:val="auto"/>
          <w:sz w:val="22"/>
          <w:lang w:eastAsia="en-US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>
            <wp:extent cx="476250" cy="560402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</w:t>
      </w:r>
      <w:r>
        <w:rPr>
          <w:rFonts w:eastAsiaTheme="minorHAnsi"/>
          <w:b/>
          <w:color w:val="auto"/>
          <w:sz w:val="22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color w:val="auto"/>
          <w:sz w:val="22"/>
          <w:lang w:eastAsia="en-US"/>
        </w:rPr>
        <w:t xml:space="preserve">                  </w:t>
      </w:r>
      <w:r>
        <w:rPr>
          <w:rFonts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b/>
                <w:bCs/>
                <w:sz w:val="22"/>
              </w:rPr>
              <w:t xml:space="preserve">REPUBLIKA HRVATSKA</w:t>
            </w:r>
            <w:r>
              <w:rPr>
                <w:rFonts w:eastAsiaTheme="minorHAnsi"/>
                <w:b/>
                <w:color w:val="auto"/>
                <w:sz w:val="22"/>
                <w:lang w:eastAsia="en-US"/>
              </w:rPr>
              <w:t xml:space="preserve">                                                                  OSNOVNA ŠKOLA NIKOLE TESLE GRAČAC</w:t>
            </w:r>
            <w:r>
              <w:rPr>
                <w:rFonts w:eastAsiaTheme="minorHAnsi"/>
                <w:b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Školska 12, 23440 Gračac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KLASA: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>
              <w:rPr>
                <w:noProof/>
                <w:lang w:val="en-US"/>
              </w:rPr>
              <w:t xml:space="preserve">112-02/25-01/12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URBROJ: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eastAsiaTheme="minorHAnsi"/>
                <w:noProof/>
                <w:color w:val="auto"/>
                <w:sz w:val="22"/>
                <w:lang w:eastAsia="en-US"/>
              </w:rPr>
              <w:t xml:space="preserve">2198-1-28-02-25-1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Gračac, 0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3</w:t>
            </w:r>
            <w:bookmarkStart w:id="3" w:name="_GoBack"/>
            <w:bookmarkEnd w:id="3"/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.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listopada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 2025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 xml:space="preserve">.g. </w:t>
            </w:r>
          </w:p>
          <w:p>
            <w:pPr>
              <w:spacing w:after="160" w:line="259" w:lineRule="auto"/>
              <w:rPr>
                <w:rFonts w:eastAsiaTheme="minorHAnsi"/>
                <w:color w:val="auto"/>
                <w:sz w:val="22"/>
                <w:lang w:eastAsia="en-US"/>
              </w:rPr>
            </w:pPr>
          </w:p>
          <w:p>
            <w:pPr>
              <w:spacing w:after="160" w:line="259" w:lineRule="auto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 temelju članka 107. Zakona o odgoju i obrazovanju u osnovnoj i srednjoj školi („Narodne novine“ broj 87/08., 86/09., 92/10., 105/10.-ispr, 90/11.,5/12., 16/12., 86/12., 94/13., 136/14.-RUSRH, 152/14., 7/17., 68/18., 98/19., 64/20.</w:t>
      </w:r>
      <w:r>
        <w:rPr>
          <w:rFonts w:asciiTheme="minorHAnsi" w:hAnsiTheme="minorHAnsi" w:cstheme="minorHAnsi"/>
          <w:color w:val="000000"/>
          <w:kern w:val="0"/>
        </w:rPr>
        <w:t xml:space="preserve"> i 151/22</w:t>
      </w:r>
      <w:r>
        <w:rPr>
          <w:rFonts w:asciiTheme="minorHAnsi" w:hAnsiTheme="minorHAnsi" w:cstheme="minorHAnsi"/>
          <w:color w:val="000000"/>
          <w:kern w:val="0"/>
        </w:rPr>
        <w:t xml:space="preserve">) članka 13. Pravilnika o radu te članaka 5. i 6. Pravilnika o postupku za</w:t>
      </w:r>
      <w:r>
        <w:rPr>
          <w:rFonts w:asciiTheme="minorHAnsi" w:hAnsiTheme="minorHAnsi" w:cstheme="minorHAnsi"/>
          <w:color w:val="000000"/>
          <w:kern w:val="0"/>
        </w:rPr>
        <w:t xml:space="preserve">pošljavanja ( u daljnjem tekstu</w:t>
      </w:r>
      <w:r>
        <w:rPr>
          <w:rFonts w:asciiTheme="minorHAnsi" w:hAnsiTheme="minorHAnsi" w:cstheme="minorHAnsi"/>
          <w:color w:val="000000"/>
          <w:kern w:val="0"/>
        </w:rPr>
        <w:t xml:space="preserve">: Pravilnik ) u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OŠ Nikole Tesle Gračac </w:t>
      </w:r>
      <w:r>
        <w:rPr>
          <w:rFonts w:asciiTheme="minorHAnsi" w:hAnsiTheme="minorHAnsi" w:cstheme="minorHAnsi"/>
          <w:color w:val="000000"/>
          <w:kern w:val="0"/>
        </w:rPr>
        <w:t xml:space="preserve">ravnatelj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ica</w:t>
      </w:r>
      <w:r>
        <w:rPr>
          <w:rFonts w:asciiTheme="minorHAnsi" w:hAnsiTheme="minorHAnsi" w:cstheme="minorHAnsi"/>
          <w:color w:val="000000"/>
          <w:kern w:val="0"/>
        </w:rPr>
        <w:t xml:space="preserve">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Osnovne škole Nikole Tesle, Gračac, Školska 12. </w:t>
      </w:r>
      <w:r>
        <w:rPr>
          <w:rFonts w:asciiTheme="minorHAnsi" w:hAnsiTheme="minorHAnsi" w:cstheme="minorHAnsi"/>
          <w:color w:val="000000"/>
          <w:kern w:val="0"/>
        </w:rPr>
        <w:t xml:space="preserve">objavljuje:</w:t>
      </w:r>
    </w:p>
    <w:p>
      <w:pPr>
        <w:shd w:val="clear" w:color="auto" w:fill="F5FAFD"/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NATJEČAJ</w:t>
      </w:r>
    </w:p>
    <w:p>
      <w:pPr>
        <w:shd w:val="clear" w:color="auto" w:fill="F5FAFD"/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za zasnivanje radnog odnosa</w:t>
      </w:r>
    </w:p>
    <w:p>
      <w:pPr>
        <w:pStyle w:val="ListParagraph"/>
        <w:numPr>
          <w:ilvl w:val="0"/>
          <w:numId w:val="1"/>
        </w:numPr>
        <w:shd w:val="clear" w:color="auto" w:fill="F5FAFD"/>
        <w:spacing/>
        <w:rPr>
          <w:rFonts w:asciiTheme="minorHAnsi" w:hAnsiTheme="minorHAnsi" w:cstheme="minorHAnsi"/>
          <w:b/>
          <w:color w:val="000000"/>
          <w:kern w:val="0"/>
        </w:rPr>
      </w:pPr>
      <w:r>
        <w:rPr>
          <w:rFonts w:asciiTheme="minorHAnsi" w:hAnsiTheme="minorHAnsi" w:cstheme="minorHAnsi"/>
          <w:b/>
          <w:color w:val="000000"/>
          <w:kern w:val="0"/>
        </w:rPr>
        <w:t xml:space="preserve">Učitelj </w:t>
      </w:r>
      <w:r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>
        <w:rPr>
          <w:rFonts w:asciiTheme="minorHAnsi" w:hAnsiTheme="minorHAnsi" w:cstheme="minorHAnsi"/>
          <w:b/>
          <w:color w:val="000000"/>
          <w:kern w:val="0"/>
        </w:rPr>
        <w:t xml:space="preserve">informatike </w:t>
      </w:r>
    </w:p>
    <w:p>
      <w:pPr>
        <w:shd w:val="clear" w:color="auto" w:fill="F5FAFD"/>
        <w:spacing w:before="100" w:beforeAutospacing="1" w:after="100" w:afterAutospacing="1"/>
        <w:ind w:left="426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b/>
          <w:color w:val="000000"/>
          <w:kern w:val="0"/>
        </w:rPr>
        <w:t xml:space="preserve">1 izvršitelj</w:t>
      </w:r>
      <w:r>
        <w:rPr>
          <w:rFonts w:asciiTheme="minorHAnsi" w:hAnsiTheme="minorHAnsi" w:cstheme="minorHAnsi"/>
          <w:b/>
          <w:i/>
          <w:iCs/>
          <w:color w:val="000000"/>
          <w:kern w:val="0"/>
        </w:rPr>
        <w:t xml:space="preserve">/ica</w:t>
      </w:r>
      <w:r>
        <w:rPr>
          <w:rFonts w:asciiTheme="minorHAnsi" w:hAnsiTheme="minorHAnsi" w:cstheme="minorHAnsi"/>
          <w:b/>
          <w:color w:val="000000"/>
          <w:kern w:val="0"/>
        </w:rPr>
        <w:t xml:space="preserve"> na ne</w:t>
      </w:r>
      <w:r>
        <w:rPr>
          <w:rFonts w:asciiTheme="minorHAnsi" w:hAnsiTheme="minorHAnsi" w:cstheme="minorHAnsi"/>
          <w:b/>
          <w:i/>
          <w:iCs/>
          <w:color w:val="000000"/>
          <w:kern w:val="0"/>
        </w:rPr>
        <w:t xml:space="preserve">određeno</w:t>
      </w:r>
      <w:r>
        <w:rPr>
          <w:rFonts w:asciiTheme="minorHAnsi" w:hAnsiTheme="minorHAnsi" w:cstheme="minorHAnsi"/>
          <w:b/>
          <w:color w:val="000000"/>
          <w:kern w:val="0"/>
        </w:rPr>
        <w:t xml:space="preserve">, </w:t>
      </w:r>
      <w:r>
        <w:rPr>
          <w:rFonts w:asciiTheme="minorHAnsi" w:hAnsiTheme="minorHAnsi" w:cstheme="minorHAnsi"/>
          <w:b/>
          <w:color w:val="000000"/>
          <w:kern w:val="0"/>
        </w:rPr>
        <w:t xml:space="preserve">ne</w:t>
      </w:r>
      <w:r>
        <w:rPr>
          <w:rFonts w:asciiTheme="minorHAnsi" w:hAnsiTheme="minorHAnsi" w:cstheme="minorHAnsi"/>
          <w:b/>
          <w:i/>
          <w:iCs/>
          <w:color w:val="000000"/>
          <w:kern w:val="0"/>
        </w:rPr>
        <w:t xml:space="preserve">puno </w:t>
      </w:r>
      <w:r>
        <w:rPr>
          <w:rFonts w:asciiTheme="minorHAnsi" w:hAnsiTheme="minorHAnsi" w:cstheme="minorHAnsi"/>
          <w:b/>
          <w:color w:val="000000"/>
          <w:kern w:val="0"/>
        </w:rPr>
        <w:t xml:space="preserve">radno vrijeme,</w:t>
      </w:r>
      <w:r>
        <w:rPr>
          <w:rFonts w:asciiTheme="minorHAnsi" w:hAnsiTheme="minorHAnsi" w:cstheme="minorHAnsi"/>
          <w:color w:val="000000"/>
          <w:kern w:val="0"/>
        </w:rPr>
        <w:t xml:space="preserve"> </w:t>
      </w:r>
      <w:r>
        <w:rPr>
          <w:rFonts w:asciiTheme="minorHAnsi" w:hAnsiTheme="minorHAnsi" w:cstheme="minorHAnsi"/>
          <w:color w:val="000000"/>
          <w:kern w:val="0"/>
        </w:rPr>
        <w:t xml:space="preserve">20</w:t>
      </w:r>
      <w:r>
        <w:rPr>
          <w:rFonts w:asciiTheme="minorHAnsi" w:hAnsiTheme="minorHAnsi" w:cstheme="minorHAnsi"/>
          <w:color w:val="000000"/>
          <w:kern w:val="0"/>
        </w:rPr>
        <w:t xml:space="preserve"> sat</w:t>
      </w:r>
      <w:r>
        <w:rPr>
          <w:rFonts w:asciiTheme="minorHAnsi" w:hAnsiTheme="minorHAnsi" w:cstheme="minorHAnsi"/>
          <w:color w:val="000000"/>
          <w:kern w:val="0"/>
        </w:rPr>
        <w:t xml:space="preserve">i</w:t>
      </w:r>
      <w:r>
        <w:rPr>
          <w:rFonts w:asciiTheme="minorHAnsi" w:hAnsiTheme="minorHAnsi" w:cstheme="minorHAnsi"/>
          <w:color w:val="000000"/>
          <w:kern w:val="0"/>
        </w:rPr>
        <w:t xml:space="preserve"> ukupnog tjednog radnog vremena.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 natječaj se mogu javiti muške i ženske osobe u skladu sa Zakonom o ravnopravnosti spolova (Narodne novine 82/08. i 69/17.)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 Uvjeti:</w:t>
      </w:r>
    </w:p>
    <w:p>
      <w:pPr>
        <w:shd w:val="clear" w:color="auto" w:fill="F5FAFD"/>
        <w:spacing w:before="100" w:beforeAutospacing="1" w:after="100" w:afterAutospacing="1"/>
        <w:ind w:left="720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Osim općih uvjeta za zasnivaju radnog odnosa prema Zakonu o radu (Narodne Novine (93/14.,127/17.,98/19.), kandidati moraju ispunjavati i posebne uvjete  članka 105. i članak 155. Zakona o odgoju i obrazovanju u osnovnoj i srednjoj školi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.</w:t>
      </w:r>
      <w:r>
        <w:rPr>
          <w:rFonts w:asciiTheme="minorHAnsi" w:hAnsiTheme="minorHAnsi" w:cstheme="minorHAnsi"/>
          <w:color w:val="000000"/>
          <w:kern w:val="0"/>
        </w:rPr>
        <w:t xml:space="preserve"> („Narodne novine“ broj 87/08., 86/09.,92/10., 105/10.-ispr, 90/11.,5/12., 16/12., 86/12.,94/13., 136/14.-RUSRH, 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152/14.,</w:t>
      </w:r>
      <w:r>
        <w:rPr>
          <w:rFonts w:asciiTheme="minorHAnsi" w:hAnsiTheme="minorHAnsi" w:cstheme="minorHAnsi"/>
          <w:color w:val="000000"/>
          <w:kern w:val="0"/>
        </w:rPr>
        <w:t xml:space="preserve">7/17.,68/18., 98/19., 64/20.</w:t>
      </w:r>
      <w:r>
        <w:rPr>
          <w:rFonts w:asciiTheme="minorHAnsi" w:hAnsiTheme="minorHAnsi" w:cstheme="minorHAnsi"/>
          <w:color w:val="000000"/>
          <w:kern w:val="0"/>
        </w:rPr>
        <w:t xml:space="preserve"> i 151/22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) </w:t>
      </w:r>
      <w:r>
        <w:rPr>
          <w:rFonts w:asciiTheme="minorHAnsi" w:hAnsiTheme="minorHAnsi" w:cstheme="minorHAnsi"/>
          <w:color w:val="000000"/>
          <w:kern w:val="0"/>
        </w:rPr>
        <w:t xml:space="preserve">te uvjete propisane člankom 17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.</w:t>
      </w:r>
      <w:r>
        <w:rPr>
          <w:rFonts w:asciiTheme="minorHAnsi" w:hAnsiTheme="minorHAnsi" w:cstheme="minorHAnsi"/>
          <w:color w:val="000000"/>
          <w:kern w:val="0"/>
        </w:rPr>
        <w:t xml:space="preserve"> Pravilnika o odgovarajućoj vrsti obrazovanja učitelja i stručnih suradnika u osnovnoj školi (Narodne novine broj: 6/19.,75/20.). 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Uz prijavu na natječaj potrebno je priložiti: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životopis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diplomu odnosno dokaz o stečenoj stručnoj spremi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dokaz o državljanstvu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uvjerenje da nije pod istragom i da se protiv kandidata/kinje ne vodi kazneni postupak glede zapreka za zasnivanje radnog odnosa iz članka 106. Zakona o odgoju i obrazovanju u osnovnoj i srednjoj školi ne starije od  dana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 raspisivanja natječaja.</w:t>
      </w:r>
    </w:p>
    <w:p>
      <w:pPr>
        <w:pStyle w:val="ListParagraph"/>
        <w:numPr>
          <w:ilvl w:val="0"/>
          <w:numId w:val="2"/>
        </w:numPr>
        <w:shd w:val="clear" w:color="auto" w:fill="F5FAFD"/>
        <w:spacing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elektronički zapis ili potvrdu o podacima evidentiranim u matičnoj evidenciji Hrvatskog zavoda za mirovinsko osiguranje ne starije  od dana raspisivanja natječaja.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Navedene isprave, odnosno prilozi, dostavljaju se u neovjerenoj preslici i ne vraćaju se kandidatu nakon završenog natječajnog postupka.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120/16.)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Osoba koja se poziva na pravo prednosti sukladno članku 102. Zakona o hrvatskim braniteljima iz Domovinskog rata i članovima njihovih obitelji (Narodne novine 121/17, 98/19, 84/21),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  84/21) dužna je u prijavi na javni natječaj pozvati se na to pravo i uz prijavu priložiti  sve dokaze o ispunjavanju uvjeta iz natječaja te svu propisanu dokumentaciju prema posebnom zakonu, a  ima prednost u odnosu  na ostale kandidate samo pod jednakim uvjetima.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Osoba koja se poziva na pravo prednosti pri zapošljavanju u skladu s člankom 102. Zakona o hrvatskim braniteljima iz Domovinskog rata i članovima njihovih obitelji (Narodne novine broj 121/17, 98/19, 84/21.)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Kandidat koji je pravodobno dostavio potpunu prijavu sa svim prilozima odnosno ispravama i ispunjava uvjete natječaja dužan je pristupiti procjeni odnosno testiranju prema </w:t>
      </w:r>
      <w:r>
        <w:rPr>
          <w:rFonts w:asciiTheme="minorHAnsi" w:hAnsiTheme="minorHAnsi" w:cstheme="minorHAnsi"/>
          <w:color w:val="000000"/>
          <w:kern w:val="0"/>
        </w:rPr>
        <w:t xml:space="preserve">odredbama  </w:t>
      </w:r>
      <w:r>
        <w:rPr/>
        <w:fldChar w:fldCharType="begin"/>
      </w:r>
      <w:r>
        <w:rPr/>
        <w:instrText xml:space="preserve">HYPERLINK "https://issuu.com/oeugenakvaternika/docs/pravilnik_o_na_inu_i_postupku_zapo_ljavanja_te_vre"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Pravilnika</w:t>
      </w:r>
      <w:r>
        <w:rPr/>
        <w:fldChar w:fldCharType="end"/>
      </w:r>
      <w:r>
        <w:rPr>
          <w:rFonts w:asciiTheme="minorHAnsi" w:hAnsiTheme="minorHAnsi" w:cstheme="minorHAnsi"/>
          <w:color w:val="000000"/>
          <w:kern w:val="0"/>
        </w:rPr>
        <w:t xml:space="preserve"> o načinu i postupku zapošljavanja u osnovnoj školi Nikole Tesle Gračac. 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Kandidat/kinja prijavom na natječaj daje privolu za obradu osobnih podataka navedenih u svim dostavljenim prilozima odnosno ispravama za potrebe provedbe natječajnog postupka sukladno važećim propisima o zaštiti osobnih podataka.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Rok za podnošenje prijave na natječaj je 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osam dana</w:t>
      </w:r>
      <w:r>
        <w:rPr>
          <w:rFonts w:asciiTheme="minorHAnsi" w:hAnsiTheme="minorHAnsi" w:cstheme="minorHAnsi"/>
          <w:color w:val="000000"/>
          <w:kern w:val="0"/>
        </w:rPr>
        <w:t xml:space="preserve"> od dana objave natječaja.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Prijave na natječaj i propisanu dokumentaciju poslati  poštom na adresu </w:t>
      </w:r>
      <w:r>
        <w:rPr>
          <w:rFonts w:asciiTheme="minorHAnsi" w:hAnsiTheme="minorHAnsi" w:cstheme="minorHAnsi"/>
          <w:b/>
          <w:bCs/>
          <w:i/>
          <w:iCs/>
          <w:color w:val="000000"/>
          <w:kern w:val="0"/>
        </w:rPr>
        <w:t xml:space="preserve">Osnovna škola Nikole Tesle, Školska 12, 23440 Gračac</w:t>
      </w:r>
      <w:r>
        <w:rPr>
          <w:rFonts w:asciiTheme="minorHAnsi" w:hAnsiTheme="minorHAnsi" w:cstheme="minorHAnsi"/>
          <w:color w:val="000000"/>
          <w:kern w:val="0"/>
        </w:rPr>
        <w:t xml:space="preserve"> 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s naz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n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akom „za natječaj- </w:t>
      </w:r>
      <w:r>
        <w:rPr>
          <w:rFonts w:asciiTheme="minorHAnsi" w:hAnsiTheme="minorHAnsi" w:cstheme="minorHAnsi"/>
          <w:b/>
          <w:bCs/>
          <w:color w:val="000000"/>
          <w:kern w:val="0"/>
        </w:rPr>
        <w:t xml:space="preserve">informatika 20 </w:t>
      </w:r>
      <w:r>
        <w:rPr>
          <w:rFonts w:asciiTheme="minorHAnsi" w:hAnsiTheme="minorHAnsi" w:cstheme="minorHAnsi"/>
          <w:color w:val="000000"/>
          <w:kern w:val="0"/>
        </w:rPr>
        <w:t xml:space="preserve">“.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Nepravodobne i nepotpune prijave neće se razmatrati.</w:t>
      </w:r>
    </w:p>
    <w:p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Kandidat/kinja prijavljen/na na natječaj bit će obaviješten/na putem mrežne stranice školske ustanove </w:t>
      </w:r>
      <w:r>
        <w:rPr/>
        <w:fldChar w:fldCharType="begin"/>
      </w:r>
      <w:r>
        <w:rPr/>
        <w:instrText xml:space="preserve">HYPERLINK "http://os-ntesle-gracac.skole.hr/" </w:instrText>
      </w:r>
      <w:r>
        <w:rPr/>
        <w:fldChar w:fldCharType="separate"/>
      </w:r>
      <w:r>
        <w:rPr>
          <w:rFonts w:asciiTheme="minorHAnsi" w:hAnsiTheme="minorHAnsi" w:cstheme="minorHAnsi"/>
          <w:color w:val="000000"/>
          <w:kern w:val="0"/>
          <w:u w:val="single"/>
        </w:rPr>
        <w:t xml:space="preserve">http://os-ntesle-gracac.skole.hr/</w:t>
      </w:r>
      <w:r>
        <w:rPr/>
        <w:fldChar w:fldCharType="end"/>
      </w:r>
      <w:r>
        <w:rPr>
          <w:rFonts w:asciiTheme="minorHAnsi" w:hAnsiTheme="minorHAnsi" w:cstheme="minorHAnsi"/>
          <w:color w:val="000000"/>
          <w:kern w:val="0"/>
        </w:rPr>
        <w:t xml:space="preserve"> najkasnije u roku od petnaest </w:t>
      </w:r>
      <w:r>
        <w:rPr>
          <w:rFonts w:asciiTheme="minorHAnsi" w:hAnsiTheme="minorHAnsi" w:cstheme="minorHAnsi"/>
          <w:i/>
          <w:iCs/>
          <w:color w:val="000000"/>
          <w:kern w:val="0"/>
        </w:rPr>
        <w:t xml:space="preserve">( 15</w:t>
      </w:r>
      <w:r>
        <w:rPr>
          <w:rFonts w:asciiTheme="minorHAnsi" w:hAnsiTheme="minorHAnsi" w:cstheme="minorHAnsi"/>
          <w:color w:val="000000"/>
          <w:kern w:val="0"/>
        </w:rPr>
        <w:t xml:space="preserve"> ) dana od dana sklapanja ugovora o radu s odabranim/om kandidatom/kinjom. U slučaju da se na natječaj prijave kandidati/kinje koji se pozivaju na pravo prednosti pri zapošljavanju prema posebnom propisu, svi će kandidati biti obaviješteni i prema članku 21. Pravilnika.</w:t>
      </w:r>
    </w:p>
    <w:p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Natječaj je objavljen 06</w:t>
      </w:r>
      <w:r>
        <w:rPr>
          <w:rFonts w:asciiTheme="minorHAnsi" w:hAnsiTheme="minorHAnsi" w:cstheme="minorHAnsi"/>
          <w:color w:val="000000"/>
          <w:kern w:val="0"/>
        </w:rPr>
        <w:t xml:space="preserve">. </w:t>
      </w:r>
      <w:r>
        <w:rPr>
          <w:rFonts w:asciiTheme="minorHAnsi" w:hAnsiTheme="minorHAnsi" w:cstheme="minorHAnsi"/>
          <w:color w:val="000000"/>
          <w:kern w:val="0"/>
        </w:rPr>
        <w:t xml:space="preserve">listopada</w:t>
      </w:r>
      <w:r>
        <w:rPr>
          <w:rFonts w:asciiTheme="minorHAnsi" w:hAnsiTheme="minorHAnsi" w:cstheme="minorHAnsi"/>
          <w:color w:val="000000"/>
          <w:kern w:val="0"/>
        </w:rPr>
        <w:t xml:space="preserve"> </w:t>
      </w:r>
      <w:r>
        <w:rPr>
          <w:rFonts w:asciiTheme="minorHAnsi" w:hAnsiTheme="minorHAnsi" w:cstheme="minorHAnsi"/>
          <w:color w:val="000000"/>
          <w:kern w:val="0"/>
        </w:rPr>
        <w:t xml:space="preserve">202</w:t>
      </w:r>
      <w:r>
        <w:rPr>
          <w:rFonts w:asciiTheme="minorHAnsi" w:hAnsiTheme="minorHAnsi" w:cstheme="minorHAnsi"/>
          <w:color w:val="000000"/>
          <w:kern w:val="0"/>
        </w:rPr>
        <w:t xml:space="preserve">5</w:t>
      </w:r>
      <w:r>
        <w:rPr>
          <w:rFonts w:asciiTheme="minorHAnsi" w:hAnsiTheme="minorHAnsi" w:cstheme="minorHAnsi"/>
          <w:color w:val="000000"/>
          <w:kern w:val="0"/>
        </w:rPr>
        <w:t xml:space="preserve">. godine.</w:t>
      </w:r>
    </w:p>
    <w:p>
      <w:pPr>
        <w:shd w:val="clear" w:color="auto" w:fill="F5FAFD"/>
        <w:spacing w:before="100" w:beforeAutospacing="1" w:after="100" w:afterAutospacing="1"/>
        <w:jc w:val="right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Ravnateljica škole:</w:t>
      </w:r>
    </w:p>
    <w:p>
      <w:pPr>
        <w:shd w:val="clear" w:color="auto" w:fill="F5FAFD"/>
        <w:spacing w:before="100" w:beforeAutospacing="1" w:after="100" w:afterAutospacing="1"/>
        <w:jc w:val="right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Slavica Miočić, dipl.ing.</w:t>
      </w:r>
    </w:p>
    <w:p>
      <w:pPr>
        <w:spacing/>
        <w:rPr>
          <w:rFonts w:asciiTheme="minorHAnsi" w:hAnsiTheme="minorHAnsi" w:cstheme="minorHAnsi"/>
          <w:color w:val="000000"/>
        </w:rPr>
      </w:pPr>
    </w:p>
    <w:p>
      <w:pPr>
        <w:spacing/>
        <w:rPr/>
      </w:pPr>
    </w:p>
    <w:sectPr>
      <w:type w:val="nextPage"/>
      <w:pgSz w:w="11906" w:h="16838"/>
      <w:pgMar w:top="1418" w:right="1418" w:bottom="1418" w:left="1418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5356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22195A5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kern w:val="36"/>
      <w:sz w:val="24"/>
      <w:szCs w:val="24"/>
      <w:lang w:val="hr-HR"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  <w:lang w:val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1131</Words>
  <Characters>6448</Characters>
  <Application>Microsoft Office Word</Application>
  <DocSecurity>0</DocSecurity>
  <Lines>53</Lines>
  <Paragraphs>15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Korisnik99</dc:creator>
  <cp:keywords/>
  <dc:description/>
  <cp:lastModifiedBy>Duška Ćopić</cp:lastModifiedBy>
  <cp:revision>3</cp:revision>
  <dcterms:created xsi:type="dcterms:W3CDTF">2025-10-03T08:51:00Z</dcterms:created>
  <dcterms:modified xsi:type="dcterms:W3CDTF">2025-10-03T09:40:00Z</dcterms:modified>
</cp:coreProperties>
</file>