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F22" w:rsidRDefault="008851F0">
      <w:pPr>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b/>
          <w:noProof/>
          <w:lang w:val="en-US"/>
        </w:rPr>
        <w:drawing>
          <wp:inline distT="0" distB="0" distL="0" distR="0">
            <wp:extent cx="457200" cy="537986"/>
            <wp:effectExtent l="0" t="0" r="0" b="0"/>
            <wp:docPr id="1" name="Slika 1" descr="C:\Users\ilija\Desktop\RAZNO\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537986"/>
                    </a:xfrm>
                    <a:prstGeom prst="rect">
                      <a:avLst/>
                    </a:prstGeom>
                  </pic:spPr>
                </pic:pic>
              </a:graphicData>
            </a:graphic>
          </wp:inline>
        </w:drawing>
      </w:r>
      <w:r>
        <w:rPr>
          <w:rFonts w:ascii="Times New Roman" w:hAnsi="Times New Roman" w:cs="Times New Roman"/>
          <w:b/>
        </w:rPr>
        <w:t xml:space="preserve">                                                                                              </w:t>
      </w:r>
      <w:r>
        <w:rPr>
          <w:rFonts w:ascii="Times New Roman" w:hAnsi="Times New Roman" w:cs="Times New Roman"/>
        </w:rPr>
        <w:t xml:space="preserve">                                                                                                                                     </w:t>
      </w:r>
      <w:r>
        <w:rPr>
          <w:rFonts w:ascii="Times New Roman" w:hAnsi="Times New Roman" w:cs="Times New Roma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93"/>
      </w:tblGrid>
      <w:tr w:rsidR="00C11F22">
        <w:tc>
          <w:tcPr>
            <w:tcW w:w="6379" w:type="dxa"/>
          </w:tcPr>
          <w:p w:rsidR="00C11F22" w:rsidRDefault="008851F0">
            <w:pPr>
              <w:spacing w:line="259" w:lineRule="auto"/>
              <w:rPr>
                <w:rFonts w:ascii="Times New Roman" w:hAnsi="Times New Roman" w:cs="Times New Roman"/>
              </w:rPr>
            </w:pPr>
            <w:bookmarkStart w:id="0" w:name="_Hlk128748807"/>
            <w:r>
              <w:rPr>
                <w:rFonts w:ascii="Times New Roman" w:hAnsi="Times New Roman" w:cs="Times New Roman"/>
                <w:b/>
              </w:rPr>
              <w:t>REPUBLIKA HRVATSKA</w:t>
            </w:r>
            <w:r>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b/>
              </w:rPr>
              <w:t>OSNOVNA ŠKOLA NIKOLE TESLE GRAČAC</w:t>
            </w:r>
            <w:r>
              <w:rPr>
                <w:rFonts w:ascii="Times New Roman" w:hAnsi="Times New Roman" w:cs="Times New Roman"/>
              </w:rPr>
              <w:t xml:space="preserve"> </w:t>
            </w:r>
          </w:p>
          <w:p w:rsidR="00C11F22" w:rsidRDefault="008851F0">
            <w:pPr>
              <w:spacing w:line="259" w:lineRule="auto"/>
              <w:rPr>
                <w:rFonts w:ascii="Times New Roman" w:hAnsi="Times New Roman" w:cs="Times New Roman"/>
              </w:rPr>
            </w:pPr>
            <w:r>
              <w:rPr>
                <w:rFonts w:ascii="Times New Roman" w:hAnsi="Times New Roman" w:cs="Times New Roman"/>
              </w:rPr>
              <w:t xml:space="preserve">Školska 12, 23440 Gračac                                                                                                    KLASA: </w:t>
            </w:r>
            <w:r>
              <w:rPr>
                <w:rFonts w:ascii="Times New Roman" w:hAnsi="Times New Roman" w:cs="Times New Roman"/>
                <w:noProof/>
                <w:lang w:val="en-US"/>
              </w:rPr>
              <w:t>400-04/26-01/2</w:t>
            </w:r>
            <w:r>
              <w:rPr>
                <w:rFonts w:ascii="Times New Roman" w:hAnsi="Times New Roman" w:cs="Times New Roman"/>
              </w:rPr>
              <w:t xml:space="preserve">                                             </w:t>
            </w:r>
            <w:r>
              <w:rPr>
                <w:rFonts w:ascii="Times New Roman" w:hAnsi="Times New Roman" w:cs="Times New Roman"/>
              </w:rPr>
              <w:t xml:space="preserve">                                                                                           URBROJ: </w:t>
            </w:r>
            <w:r>
              <w:rPr>
                <w:rFonts w:ascii="Times New Roman" w:hAnsi="Times New Roman" w:cs="Times New Roman"/>
                <w:noProof/>
              </w:rPr>
              <w:t>2198-1-28-04-26-1</w:t>
            </w:r>
            <w:r>
              <w:rPr>
                <w:rFonts w:ascii="Times New Roman" w:hAnsi="Times New Roman" w:cs="Times New Roman"/>
              </w:rPr>
              <w:t xml:space="preserve">                                                                                                           Gračac, 13. srpnja 2025.g. </w:t>
            </w:r>
          </w:p>
        </w:tc>
        <w:tc>
          <w:tcPr>
            <w:tcW w:w="2693" w:type="dxa"/>
          </w:tcPr>
          <w:p w:rsidR="00C11F22" w:rsidRDefault="008851F0">
            <w:pPr>
              <w:spacing w:after="160" w:line="259" w:lineRule="auto"/>
              <w:jc w:val="right"/>
              <w:rPr>
                <w:rFonts w:ascii="Times New Roman" w:hAnsi="Times New Roman" w:cs="Times New Roman"/>
              </w:rPr>
            </w:pPr>
            <w:r>
              <w:rPr>
                <w:noProof/>
                <w:lang w:val="en-US"/>
              </w:rPr>
              <w:drawing>
                <wp:inline distT="0" distB="0" distL="0" distR="0">
                  <wp:extent cx="933580" cy="93358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933580" cy="933580"/>
                          </a:xfrm>
                          <a:prstGeom prst="rect">
                            <a:avLst/>
                          </a:prstGeom>
                        </pic:spPr>
                      </pic:pic>
                    </a:graphicData>
                  </a:graphic>
                </wp:inline>
              </w:drawing>
            </w:r>
          </w:p>
        </w:tc>
      </w:tr>
      <w:bookmarkEnd w:id="0"/>
    </w:tbl>
    <w:p w:rsidR="00C11F22" w:rsidRDefault="00C11F22">
      <w:pPr>
        <w:spacing w:line="360" w:lineRule="auto"/>
        <w:jc w:val="both"/>
        <w:rPr>
          <w:rFonts w:ascii="Arial" w:hAnsi="Arial" w:cs="Arial"/>
          <w:sz w:val="24"/>
          <w:szCs w:val="24"/>
        </w:rPr>
      </w:pPr>
    </w:p>
    <w:p w:rsidR="00C11F22" w:rsidRDefault="00C11F22">
      <w:pPr>
        <w:spacing w:line="360" w:lineRule="auto"/>
        <w:jc w:val="both"/>
        <w:rPr>
          <w:rFonts w:ascii="Arial" w:hAnsi="Arial" w:cs="Arial"/>
          <w:sz w:val="24"/>
          <w:szCs w:val="24"/>
        </w:rPr>
      </w:pPr>
    </w:p>
    <w:p w:rsidR="00C11F22" w:rsidRDefault="008851F0">
      <w:pPr>
        <w:spacing w:line="360" w:lineRule="auto"/>
        <w:jc w:val="both"/>
        <w:rPr>
          <w:rFonts w:ascii="Arial" w:hAnsi="Arial" w:cs="Arial"/>
          <w:sz w:val="24"/>
          <w:szCs w:val="24"/>
        </w:rPr>
      </w:pPr>
      <w:r>
        <w:rPr>
          <w:rFonts w:ascii="Arial" w:hAnsi="Arial" w:cs="Arial"/>
          <w:sz w:val="24"/>
          <w:szCs w:val="24"/>
        </w:rPr>
        <w:t>RKP: 21254</w:t>
      </w:r>
    </w:p>
    <w:p w:rsidR="00C11F22" w:rsidRDefault="008851F0">
      <w:pPr>
        <w:spacing w:line="360" w:lineRule="auto"/>
        <w:jc w:val="both"/>
        <w:rPr>
          <w:rFonts w:ascii="Arial" w:hAnsi="Arial" w:cs="Arial"/>
          <w:sz w:val="24"/>
          <w:szCs w:val="24"/>
        </w:rPr>
      </w:pPr>
      <w:r>
        <w:rPr>
          <w:rFonts w:ascii="Arial" w:hAnsi="Arial" w:cs="Arial"/>
          <w:sz w:val="24"/>
          <w:szCs w:val="24"/>
        </w:rPr>
        <w:t>Matični broj: 03312194</w:t>
      </w:r>
    </w:p>
    <w:p w:rsidR="00C11F22" w:rsidRDefault="008851F0">
      <w:pPr>
        <w:spacing w:line="360" w:lineRule="auto"/>
        <w:jc w:val="both"/>
        <w:rPr>
          <w:rFonts w:ascii="Arial" w:hAnsi="Arial" w:cs="Arial"/>
          <w:sz w:val="24"/>
          <w:szCs w:val="24"/>
        </w:rPr>
      </w:pPr>
      <w:r>
        <w:rPr>
          <w:rFonts w:ascii="Arial" w:hAnsi="Arial" w:cs="Arial"/>
          <w:sz w:val="24"/>
          <w:szCs w:val="24"/>
        </w:rPr>
        <w:t>OIB: 22252625411</w:t>
      </w:r>
    </w:p>
    <w:p w:rsidR="00C11F22" w:rsidRDefault="00C11F22">
      <w:pPr>
        <w:spacing w:line="360" w:lineRule="auto"/>
        <w:jc w:val="both"/>
        <w:rPr>
          <w:rFonts w:ascii="Arial" w:hAnsi="Arial" w:cs="Arial"/>
          <w:sz w:val="24"/>
          <w:szCs w:val="24"/>
        </w:rPr>
      </w:pPr>
    </w:p>
    <w:p w:rsidR="00C11F22" w:rsidRDefault="008851F0">
      <w:pPr>
        <w:spacing w:line="360" w:lineRule="auto"/>
        <w:jc w:val="both"/>
        <w:rPr>
          <w:rFonts w:ascii="Arial" w:hAnsi="Arial" w:cs="Arial"/>
          <w:sz w:val="24"/>
          <w:szCs w:val="24"/>
        </w:rPr>
      </w:pPr>
      <w:r>
        <w:rPr>
          <w:rFonts w:ascii="Arial" w:hAnsi="Arial" w:cs="Arial"/>
          <w:sz w:val="24"/>
          <w:szCs w:val="24"/>
        </w:rPr>
        <w:t>Osnovna škola Nikole Tesle u Gračacu posluje u skladu sa Zakonom o odgoju i obrazovanju u osnovnoj i srednjoj školi te Statutom škole. Proračunsko računovodstvo vodi na temelju Pravilnika o proračunskom r</w:t>
      </w:r>
      <w:r>
        <w:rPr>
          <w:rFonts w:ascii="Arial" w:hAnsi="Arial" w:cs="Arial"/>
          <w:sz w:val="24"/>
          <w:szCs w:val="24"/>
        </w:rPr>
        <w:t>ačunovodstvu i računskom planu, a u skladu sa odredbama Pravilnika o financijskom izvještavanju u proračunskom računovodstvu sastavlja i predaje financijske izvještaje.</w:t>
      </w:r>
    </w:p>
    <w:p w:rsidR="00C11F22" w:rsidRDefault="008851F0">
      <w:pPr>
        <w:spacing w:line="360" w:lineRule="auto"/>
        <w:jc w:val="both"/>
        <w:rPr>
          <w:rFonts w:ascii="Arial" w:hAnsi="Arial" w:cs="Arial"/>
          <w:sz w:val="24"/>
          <w:szCs w:val="24"/>
        </w:rPr>
      </w:pPr>
      <w:r>
        <w:rPr>
          <w:rFonts w:ascii="Arial" w:hAnsi="Arial" w:cs="Arial"/>
          <w:sz w:val="24"/>
          <w:szCs w:val="24"/>
        </w:rPr>
        <w:t>Financijski izvještaji predaju se u skladu s Okružnicom Ministarstva financija o sastav</w:t>
      </w:r>
      <w:r>
        <w:rPr>
          <w:rFonts w:ascii="Arial" w:hAnsi="Arial" w:cs="Arial"/>
          <w:sz w:val="24"/>
          <w:szCs w:val="24"/>
        </w:rPr>
        <w:t>ljanju, konsolidaciji i predaji financijskih izvještaja proračuna, proračunskih /izvanproračunskih korisnika državnog proračuna te proračunskih/izvanproračunskih korisnika proračuna jedinica lokalne i područne (regionalne) samouprave.</w:t>
      </w:r>
    </w:p>
    <w:p w:rsidR="00C11F22" w:rsidRDefault="00C11F22">
      <w:pPr>
        <w:spacing w:line="360" w:lineRule="auto"/>
        <w:jc w:val="both"/>
        <w:rPr>
          <w:rFonts w:ascii="Arial" w:hAnsi="Arial" w:cs="Arial"/>
          <w:sz w:val="24"/>
          <w:szCs w:val="24"/>
        </w:rPr>
      </w:pPr>
    </w:p>
    <w:p w:rsidR="00C11F22" w:rsidRDefault="008851F0">
      <w:pPr>
        <w:spacing w:line="360" w:lineRule="auto"/>
        <w:jc w:val="both"/>
        <w:rPr>
          <w:rFonts w:ascii="Arial" w:hAnsi="Arial" w:cs="Arial"/>
          <w:b/>
          <w:sz w:val="24"/>
          <w:szCs w:val="24"/>
        </w:rPr>
      </w:pPr>
      <w:r>
        <w:rPr>
          <w:rFonts w:ascii="Arial" w:hAnsi="Arial" w:cs="Arial"/>
          <w:b/>
          <w:sz w:val="24"/>
          <w:szCs w:val="24"/>
        </w:rPr>
        <w:t>Bilješke uz Izvješta</w:t>
      </w:r>
      <w:r>
        <w:rPr>
          <w:rFonts w:ascii="Arial" w:hAnsi="Arial" w:cs="Arial"/>
          <w:b/>
          <w:sz w:val="24"/>
          <w:szCs w:val="24"/>
        </w:rPr>
        <w:t>j o prihodima i rashodima, primicima i izdacima</w:t>
      </w:r>
    </w:p>
    <w:p w:rsidR="00C11F22" w:rsidRDefault="008851F0">
      <w:pPr>
        <w:spacing w:line="360" w:lineRule="auto"/>
        <w:jc w:val="both"/>
        <w:rPr>
          <w:rFonts w:ascii="Arial" w:hAnsi="Arial" w:cs="Arial"/>
          <w:sz w:val="24"/>
          <w:szCs w:val="24"/>
        </w:rPr>
      </w:pPr>
      <w:r>
        <w:rPr>
          <w:rFonts w:ascii="Arial" w:hAnsi="Arial" w:cs="Arial"/>
          <w:sz w:val="24"/>
          <w:szCs w:val="24"/>
        </w:rPr>
        <w:t>Ukupni prihodi poslovanja povećani su za 9,4% tijekom prve polovice 2026. godine u odnosu na prethodnu godinu dok ukupne rashode za isto promatrano razdoblje prati smanjenje od 8,8%.</w:t>
      </w:r>
    </w:p>
    <w:p w:rsidR="00C11F22" w:rsidRDefault="00C11F22">
      <w:pPr>
        <w:spacing w:line="360" w:lineRule="auto"/>
        <w:jc w:val="both"/>
        <w:rPr>
          <w:rFonts w:ascii="Arial" w:hAnsi="Arial" w:cs="Arial"/>
          <w:sz w:val="24"/>
          <w:szCs w:val="24"/>
        </w:rPr>
      </w:pPr>
    </w:p>
    <w:p w:rsidR="008851F0" w:rsidRDefault="008851F0">
      <w:pPr>
        <w:spacing w:line="360" w:lineRule="auto"/>
        <w:jc w:val="both"/>
        <w:rPr>
          <w:rFonts w:ascii="Arial" w:hAnsi="Arial" w:cs="Arial"/>
          <w:sz w:val="24"/>
          <w:szCs w:val="24"/>
        </w:rPr>
      </w:pPr>
      <w:bookmarkStart w:id="1" w:name="_GoBack"/>
      <w:bookmarkEnd w:id="1"/>
    </w:p>
    <w:p w:rsidR="00C11F22" w:rsidRDefault="008851F0">
      <w:pPr>
        <w:spacing w:line="360" w:lineRule="auto"/>
        <w:jc w:val="both"/>
        <w:rPr>
          <w:rFonts w:ascii="Arial" w:hAnsi="Arial" w:cs="Arial"/>
          <w:b/>
          <w:sz w:val="24"/>
          <w:szCs w:val="24"/>
        </w:rPr>
      </w:pPr>
      <w:r>
        <w:rPr>
          <w:rFonts w:ascii="Arial" w:hAnsi="Arial" w:cs="Arial"/>
          <w:b/>
          <w:sz w:val="24"/>
          <w:szCs w:val="24"/>
        </w:rPr>
        <w:lastRenderedPageBreak/>
        <w:t>Konto 636 – Pomoći proračunskim korisnicima iz proračuna koji im nije nadležan</w:t>
      </w:r>
    </w:p>
    <w:p w:rsidR="00C11F22" w:rsidRDefault="008851F0">
      <w:pPr>
        <w:pStyle w:val="ListParagraph"/>
        <w:numPr>
          <w:ilvl w:val="0"/>
          <w:numId w:val="2"/>
        </w:numPr>
        <w:spacing w:line="360" w:lineRule="auto"/>
        <w:jc w:val="both"/>
        <w:rPr>
          <w:rFonts w:ascii="Arial" w:hAnsi="Arial" w:cs="Arial"/>
          <w:sz w:val="24"/>
          <w:szCs w:val="24"/>
        </w:rPr>
      </w:pPr>
      <w:r>
        <w:rPr>
          <w:rFonts w:ascii="Arial" w:hAnsi="Arial" w:cs="Arial"/>
          <w:sz w:val="24"/>
          <w:szCs w:val="24"/>
        </w:rPr>
        <w:t>Do povećanja najvećim dijelom dolazi zbog povećanja osnovice za obračun plaća tj. zbog ukupnog povećanja plaća.</w:t>
      </w:r>
    </w:p>
    <w:p w:rsidR="00C11F22" w:rsidRDefault="008851F0">
      <w:pPr>
        <w:spacing w:line="360" w:lineRule="auto"/>
        <w:jc w:val="both"/>
        <w:rPr>
          <w:rFonts w:ascii="Arial" w:hAnsi="Arial" w:cs="Arial"/>
          <w:b/>
          <w:sz w:val="24"/>
          <w:szCs w:val="24"/>
        </w:rPr>
      </w:pPr>
      <w:r>
        <w:rPr>
          <w:rFonts w:ascii="Arial" w:hAnsi="Arial" w:cs="Arial"/>
          <w:b/>
          <w:sz w:val="24"/>
          <w:szCs w:val="24"/>
        </w:rPr>
        <w:t>Konto 639 – Prijenosi između proračunskih korisnika istog proraču</w:t>
      </w:r>
      <w:r>
        <w:rPr>
          <w:rFonts w:ascii="Arial" w:hAnsi="Arial" w:cs="Arial"/>
          <w:b/>
          <w:sz w:val="24"/>
          <w:szCs w:val="24"/>
        </w:rPr>
        <w:t>na</w:t>
      </w:r>
    </w:p>
    <w:p w:rsidR="00C11F22" w:rsidRDefault="008851F0">
      <w:pPr>
        <w:pStyle w:val="NormalWeb"/>
        <w:numPr>
          <w:ilvl w:val="0"/>
          <w:numId w:val="2"/>
        </w:numPr>
        <w:shd w:val="clear" w:color="auto" w:fill="FFFFFF"/>
        <w:spacing w:before="0" w:beforeAutospacing="0" w:after="0" w:afterAutospacing="0" w:line="360" w:lineRule="auto"/>
        <w:jc w:val="both"/>
        <w:rPr>
          <w:rFonts w:ascii="Arial" w:hAnsi="Arial" w:cs="Arial"/>
        </w:rPr>
      </w:pPr>
      <w:r>
        <w:rPr>
          <w:rFonts w:ascii="Arial" w:hAnsi="Arial" w:cs="Arial"/>
        </w:rPr>
        <w:t>Projekt Inkluzija financira se iz izvora </w:t>
      </w:r>
      <w:r>
        <w:rPr>
          <w:rFonts w:ascii="Arial" w:hAnsi="Arial" w:cs="Arial"/>
          <w:b/>
          <w:bCs/>
        </w:rPr>
        <w:t>561 Europski socijalni fond  </w:t>
      </w:r>
      <w:r>
        <w:rPr>
          <w:rFonts w:ascii="Arial" w:hAnsi="Arial" w:cs="Arial"/>
        </w:rPr>
        <w:t>sa nacionalnim učešćem iz izvora</w:t>
      </w:r>
      <w:r>
        <w:rPr>
          <w:rFonts w:ascii="Arial" w:hAnsi="Arial" w:cs="Arial"/>
        </w:rPr>
        <w:t xml:space="preserve"> </w:t>
      </w:r>
      <w:r>
        <w:rPr>
          <w:rFonts w:ascii="Arial" w:hAnsi="Arial" w:cs="Arial"/>
          <w:b/>
          <w:bCs/>
        </w:rPr>
        <w:t>5012 Pomoći iz državnog proračuna kroz nacionalno sufinanciranje EU projekta</w:t>
      </w:r>
      <w:r>
        <w:rPr>
          <w:rFonts w:ascii="Arial" w:hAnsi="Arial" w:cs="Arial"/>
        </w:rPr>
        <w:t>. Prema novim uputama oba izvora se evidentiraju unutar pomoći temeljem</w:t>
      </w:r>
      <w:r>
        <w:rPr>
          <w:rFonts w:ascii="Arial" w:hAnsi="Arial" w:cs="Arial"/>
        </w:rPr>
        <w:t xml:space="preserve"> EU projekata. </w:t>
      </w:r>
    </w:p>
    <w:p w:rsidR="00C11F22" w:rsidRDefault="008851F0">
      <w:pPr>
        <w:pStyle w:val="NormalWeb"/>
        <w:shd w:val="clear" w:color="auto" w:fill="FFFFFF"/>
        <w:spacing w:before="0" w:beforeAutospacing="0" w:after="0" w:afterAutospacing="0" w:line="360" w:lineRule="auto"/>
        <w:ind w:left="360"/>
        <w:jc w:val="both"/>
        <w:rPr>
          <w:rFonts w:ascii="Arial" w:hAnsi="Arial" w:cs="Arial"/>
        </w:rPr>
      </w:pPr>
      <w:r>
        <w:rPr>
          <w:rFonts w:ascii="Arial" w:hAnsi="Arial" w:cs="Arial"/>
        </w:rPr>
        <w:t>Kako je Zadarska županija nositelj projekta, Škola evidentira prihod iz oba izvora na </w:t>
      </w:r>
      <w:r>
        <w:rPr>
          <w:rFonts w:ascii="Arial" w:hAnsi="Arial" w:cs="Arial"/>
          <w:b/>
          <w:bCs/>
        </w:rPr>
        <w:t>6393 Tekuće pomoći između</w:t>
      </w:r>
      <w:r>
        <w:rPr>
          <w:rFonts w:ascii="Arial" w:hAnsi="Arial" w:cs="Arial"/>
        </w:rPr>
        <w:t xml:space="preserve"> </w:t>
      </w:r>
      <w:r>
        <w:rPr>
          <w:rFonts w:ascii="Arial" w:hAnsi="Arial" w:cs="Arial"/>
          <w:b/>
          <w:bCs/>
        </w:rPr>
        <w:t>proračunskih korisnika istog proračuna temeljem prijenosa EU sredstava.</w:t>
      </w:r>
    </w:p>
    <w:p w:rsidR="00C11F22" w:rsidRDefault="00C11F22">
      <w:pPr>
        <w:spacing w:line="360" w:lineRule="auto"/>
        <w:jc w:val="both"/>
        <w:rPr>
          <w:rFonts w:ascii="Arial" w:hAnsi="Arial" w:cs="Arial"/>
          <w:b/>
          <w:sz w:val="24"/>
          <w:szCs w:val="24"/>
        </w:rPr>
      </w:pPr>
    </w:p>
    <w:p w:rsidR="00C11F22" w:rsidRDefault="008851F0">
      <w:pPr>
        <w:spacing w:line="360" w:lineRule="auto"/>
        <w:jc w:val="both"/>
        <w:rPr>
          <w:rFonts w:ascii="Arial" w:hAnsi="Arial" w:cs="Arial"/>
          <w:sz w:val="24"/>
          <w:szCs w:val="24"/>
        </w:rPr>
      </w:pPr>
      <w:r>
        <w:rPr>
          <w:rFonts w:ascii="Arial" w:hAnsi="Arial" w:cs="Arial"/>
          <w:b/>
          <w:sz w:val="24"/>
          <w:szCs w:val="24"/>
        </w:rPr>
        <w:t>Konto 671 – Prihodi iz nadležnog proračuna za financira</w:t>
      </w:r>
      <w:r>
        <w:rPr>
          <w:rFonts w:ascii="Arial" w:hAnsi="Arial" w:cs="Arial"/>
          <w:b/>
          <w:sz w:val="24"/>
          <w:szCs w:val="24"/>
        </w:rPr>
        <w:t>nje rashoda poslovanja</w:t>
      </w:r>
      <w:r>
        <w:rPr>
          <w:rFonts w:ascii="Arial" w:hAnsi="Arial" w:cs="Arial"/>
          <w:sz w:val="24"/>
          <w:szCs w:val="24"/>
        </w:rPr>
        <w:t xml:space="preserve"> – povećani su prihodi poslovanja tijekom prvih šest mjeseci tekuće godine iz razloga što su iz prethodne godine plaćeni određeni rashodi poput rashoda za prijevoz učenika prema kojima su dugovanja bila pozamašnija.</w:t>
      </w:r>
    </w:p>
    <w:p w:rsidR="00C11F22" w:rsidRDefault="008851F0">
      <w:pPr>
        <w:spacing w:line="360" w:lineRule="auto"/>
        <w:jc w:val="both"/>
        <w:rPr>
          <w:rFonts w:ascii="Arial" w:hAnsi="Arial" w:cs="Arial"/>
          <w:sz w:val="24"/>
          <w:szCs w:val="24"/>
        </w:rPr>
      </w:pPr>
      <w:r>
        <w:rPr>
          <w:rFonts w:ascii="Arial" w:hAnsi="Arial" w:cs="Arial"/>
          <w:b/>
          <w:sz w:val="24"/>
          <w:szCs w:val="24"/>
        </w:rPr>
        <w:t>Skupina 31 – Plaće</w:t>
      </w:r>
      <w:r>
        <w:rPr>
          <w:rFonts w:ascii="Arial" w:hAnsi="Arial" w:cs="Arial"/>
          <w:b/>
          <w:sz w:val="24"/>
          <w:szCs w:val="24"/>
        </w:rPr>
        <w:t>, Konto 312 – Ostali rashodi za zaposlene, Konto 313 – Doprinosi na plaće</w:t>
      </w:r>
      <w:r>
        <w:rPr>
          <w:rFonts w:ascii="Arial" w:hAnsi="Arial" w:cs="Arial"/>
          <w:sz w:val="24"/>
          <w:szCs w:val="24"/>
        </w:rPr>
        <w:t xml:space="preserve"> – dolazi do smanjenja zbog drugačijeg evidentiranja rashoda za plaće, odnosno prije je u izvještaj zbog prijelaznog računa za promatrano razdoblje išla 3-ica za isplatu plaću iz 12 m</w:t>
      </w:r>
      <w:r>
        <w:rPr>
          <w:rFonts w:ascii="Arial" w:hAnsi="Arial" w:cs="Arial"/>
          <w:sz w:val="24"/>
          <w:szCs w:val="24"/>
        </w:rPr>
        <w:t>jeseca dok sada to nije slučaj.</w:t>
      </w:r>
    </w:p>
    <w:p w:rsidR="00C11F22" w:rsidRDefault="008851F0">
      <w:pPr>
        <w:spacing w:line="360" w:lineRule="auto"/>
        <w:jc w:val="both"/>
        <w:rPr>
          <w:rFonts w:ascii="Arial" w:hAnsi="Arial" w:cs="Arial"/>
          <w:sz w:val="24"/>
          <w:szCs w:val="24"/>
        </w:rPr>
      </w:pPr>
      <w:r>
        <w:rPr>
          <w:rFonts w:ascii="Arial" w:hAnsi="Arial" w:cs="Arial"/>
          <w:b/>
          <w:sz w:val="24"/>
          <w:szCs w:val="24"/>
        </w:rPr>
        <w:t xml:space="preserve">Skupina 32 – Materijalni rashodi – </w:t>
      </w:r>
      <w:r>
        <w:rPr>
          <w:rFonts w:ascii="Arial" w:hAnsi="Arial" w:cs="Arial"/>
          <w:sz w:val="24"/>
          <w:szCs w:val="24"/>
        </w:rPr>
        <w:t>dolazi do smanjenja u ukupnom evidentiranju ostvarenih materijalnih rashoda u tekućem razdoblju u odnosu na prethodnu godinu.</w:t>
      </w:r>
    </w:p>
    <w:p w:rsidR="00C11F22" w:rsidRDefault="00C11F22">
      <w:pPr>
        <w:spacing w:line="360" w:lineRule="auto"/>
        <w:jc w:val="both"/>
        <w:rPr>
          <w:rFonts w:ascii="Arial" w:hAnsi="Arial" w:cs="Arial"/>
          <w:sz w:val="24"/>
          <w:szCs w:val="24"/>
        </w:rPr>
      </w:pPr>
    </w:p>
    <w:p w:rsidR="00C11F22" w:rsidRDefault="008851F0">
      <w:pPr>
        <w:spacing w:line="360" w:lineRule="auto"/>
        <w:jc w:val="both"/>
        <w:rPr>
          <w:rFonts w:ascii="Arial" w:hAnsi="Arial" w:cs="Arial"/>
          <w:b/>
          <w:sz w:val="24"/>
          <w:szCs w:val="24"/>
        </w:rPr>
      </w:pPr>
      <w:r>
        <w:rPr>
          <w:rFonts w:ascii="Arial" w:hAnsi="Arial" w:cs="Arial"/>
          <w:b/>
          <w:sz w:val="24"/>
          <w:szCs w:val="24"/>
        </w:rPr>
        <w:t>Bilješke uz Izvještaj o obvezama</w:t>
      </w:r>
    </w:p>
    <w:p w:rsidR="00C11F22" w:rsidRDefault="008851F0">
      <w:pPr>
        <w:spacing w:line="360" w:lineRule="auto"/>
        <w:jc w:val="both"/>
        <w:rPr>
          <w:rFonts w:ascii="Arial" w:hAnsi="Arial" w:cs="Arial"/>
          <w:sz w:val="24"/>
          <w:szCs w:val="24"/>
        </w:rPr>
      </w:pPr>
      <w:r>
        <w:rPr>
          <w:rFonts w:ascii="Arial" w:hAnsi="Arial" w:cs="Arial"/>
          <w:sz w:val="24"/>
          <w:szCs w:val="24"/>
        </w:rPr>
        <w:t>Prenesene obveze iz 2025. god</w:t>
      </w:r>
      <w:r>
        <w:rPr>
          <w:rFonts w:ascii="Arial" w:hAnsi="Arial" w:cs="Arial"/>
          <w:sz w:val="24"/>
          <w:szCs w:val="24"/>
        </w:rPr>
        <w:t>ine iznose 188.528,02 EUR.</w:t>
      </w:r>
    </w:p>
    <w:p w:rsidR="00C11F22" w:rsidRDefault="008851F0">
      <w:pPr>
        <w:spacing w:line="360" w:lineRule="auto"/>
        <w:jc w:val="both"/>
        <w:rPr>
          <w:rFonts w:ascii="Arial" w:hAnsi="Arial" w:cs="Arial"/>
          <w:sz w:val="24"/>
          <w:szCs w:val="24"/>
        </w:rPr>
      </w:pPr>
      <w:r>
        <w:rPr>
          <w:rFonts w:ascii="Arial" w:hAnsi="Arial" w:cs="Arial"/>
          <w:sz w:val="24"/>
          <w:szCs w:val="24"/>
        </w:rPr>
        <w:t>Do povećanja obveza dolazi zbog povećanja plaća, ali i zbog izataka glede materijalnih rashoda. Obveze za nefinancijsku imovinu iznose 10.790,00 EUR.</w:t>
      </w:r>
    </w:p>
    <w:p w:rsidR="00C11F22" w:rsidRDefault="008851F0">
      <w:pPr>
        <w:spacing w:line="360" w:lineRule="auto"/>
        <w:jc w:val="both"/>
        <w:rPr>
          <w:rFonts w:ascii="Arial" w:hAnsi="Arial" w:cs="Arial"/>
          <w:sz w:val="24"/>
          <w:szCs w:val="24"/>
        </w:rPr>
      </w:pPr>
      <w:r>
        <w:rPr>
          <w:rFonts w:ascii="Arial" w:hAnsi="Arial" w:cs="Arial"/>
          <w:sz w:val="24"/>
          <w:szCs w:val="24"/>
        </w:rPr>
        <w:t>Stanje nedospjelih obveza, odnosno obveza na kraju izvještajnog razdoblja iznos</w:t>
      </w:r>
      <w:r>
        <w:rPr>
          <w:rFonts w:ascii="Arial" w:hAnsi="Arial" w:cs="Arial"/>
          <w:sz w:val="24"/>
          <w:szCs w:val="24"/>
        </w:rPr>
        <w:t>i 161.933,53 EUR, a sadrže obveze za zaposlene kao i obveze za materijalne rashode.</w:t>
      </w:r>
    </w:p>
    <w:p w:rsidR="00C11F22" w:rsidRDefault="00C11F22">
      <w:pPr>
        <w:spacing w:line="360" w:lineRule="auto"/>
        <w:jc w:val="both"/>
        <w:rPr>
          <w:rFonts w:ascii="Arial" w:hAnsi="Arial" w:cs="Arial"/>
          <w:sz w:val="24"/>
          <w:szCs w:val="24"/>
        </w:rPr>
      </w:pPr>
    </w:p>
    <w:p w:rsidR="00C11F22" w:rsidRDefault="00C11F22">
      <w:pPr>
        <w:spacing w:line="360" w:lineRule="auto"/>
        <w:jc w:val="both"/>
        <w:rPr>
          <w:rFonts w:ascii="Arial" w:hAnsi="Arial" w:cs="Arial"/>
          <w:sz w:val="24"/>
          <w:szCs w:val="24"/>
        </w:rPr>
      </w:pPr>
    </w:p>
    <w:p w:rsidR="00C11F22" w:rsidRDefault="008851F0">
      <w:pPr>
        <w:spacing w:line="360" w:lineRule="auto"/>
        <w:jc w:val="both"/>
        <w:rPr>
          <w:rFonts w:ascii="Arial" w:hAnsi="Arial" w:cs="Arial"/>
          <w:sz w:val="24"/>
          <w:szCs w:val="24"/>
        </w:rPr>
      </w:pPr>
      <w:r>
        <w:rPr>
          <w:rFonts w:ascii="Arial" w:hAnsi="Arial" w:cs="Arial"/>
          <w:sz w:val="24"/>
          <w:szCs w:val="24"/>
        </w:rPr>
        <w:t>Voditelj računovodstva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Zakonski predstavnik:</w:t>
      </w:r>
    </w:p>
    <w:p w:rsidR="00C11F22" w:rsidRDefault="008851F0">
      <w:pPr>
        <w:spacing w:line="360" w:lineRule="auto"/>
        <w:jc w:val="both"/>
        <w:rPr>
          <w:rFonts w:ascii="Arial" w:hAnsi="Arial" w:cs="Arial"/>
          <w:sz w:val="24"/>
          <w:szCs w:val="24"/>
        </w:rPr>
      </w:pPr>
      <w:r>
        <w:rPr>
          <w:rFonts w:ascii="Arial" w:hAnsi="Arial" w:cs="Arial"/>
          <w:sz w:val="24"/>
          <w:szCs w:val="24"/>
        </w:rPr>
        <w:t>Antonela Miletić, mag.oec</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Slavica Miočić, dipl.ing.</w:t>
      </w:r>
    </w:p>
    <w:sectPr w:rsidR="00C11F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6547E"/>
    <w:multiLevelType w:val="multilevel"/>
    <w:tmpl w:val="AB043858"/>
    <w:lvl w:ilvl="0">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2D64401"/>
    <w:multiLevelType w:val="multilevel"/>
    <w:tmpl w:val="12C21492"/>
    <w:lvl w:ilvl="0">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F22"/>
    <w:rsid w:val="008851F0"/>
    <w:rsid w:val="00C11F2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8A3A6"/>
  <w15:docId w15:val="{FE83E23C-A7DB-453D-B024-7C23F184E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596</Words>
  <Characters>3401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Antonela Miletić</dc:creator>
  <cp:keywords/>
  <dc:description/>
  <cp:lastModifiedBy>User</cp:lastModifiedBy>
  <cp:revision>2</cp:revision>
  <dcterms:created xsi:type="dcterms:W3CDTF">2026-07-13T09:05:00Z</dcterms:created>
  <dcterms:modified xsi:type="dcterms:W3CDTF">2026-07-13T09:05:00Z</dcterms:modified>
</cp:coreProperties>
</file>