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AC5959">
        <w:tc>
          <w:tcPr>
            <w:tcW w:w="6379" w:type="dxa"/>
          </w:tcPr>
          <w:p w:rsidR="00AC5959" w:rsidRDefault="00DD5B16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bookmarkStart w:id="0" w:name="_Hlk128748807"/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51"/>
              <w:gridCol w:w="2212"/>
            </w:tblGrid>
            <w:tr w:rsidR="00AC5959">
              <w:tc>
                <w:tcPr>
                  <w:tcW w:w="6379" w:type="dxa"/>
                </w:tcPr>
                <w:p w:rsidR="00AC5959" w:rsidRDefault="00DD5B16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OSNOVNA ŠKOLA NIKOLE TESLE GRAČAC                                                                                                 Školska 12, 13440 Gračac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KLASA: </w:t>
                  </w:r>
                  <w:r>
                    <w:rPr>
                      <w:rFonts w:ascii="Times New Roman" w:eastAsia="Calibri" w:hAnsi="Times New Roman" w:cs="Times New Roman"/>
                      <w:noProof/>
                      <w:color w:val="000000"/>
                      <w:sz w:val="24"/>
                      <w:lang w:val="en-US" w:eastAsia="hr-HR"/>
                    </w:rPr>
                    <w:t>400-04/26-01/3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                                                                       URBROJ: </w:t>
                  </w:r>
                  <w:r>
                    <w:rPr>
                      <w:rFonts w:ascii="Times New Roman" w:eastAsia="Calibri" w:hAnsi="Times New Roman" w:cs="Times New Roman"/>
                      <w:noProof/>
                    </w:rPr>
                    <w:t>2198-1-28-04-26-1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             Gračac, 16. srpnja 2026.g. </w:t>
                  </w:r>
                </w:p>
                <w:p w:rsidR="00AC5959" w:rsidRDefault="00AC5959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</w:rPr>
                  </w:pPr>
                </w:p>
                <w:p w:rsidR="00AC5959" w:rsidRDefault="00AC5959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2693" w:type="dxa"/>
                </w:tcPr>
                <w:p w:rsidR="00AC5959" w:rsidRDefault="00DD5B16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933580" cy="933580"/>
                        <wp:effectExtent l="0" t="0" r="0" b="0"/>
                        <wp:docPr id="1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580" cy="933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5959" w:rsidRDefault="00AC59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59" w:rsidRDefault="00AC5959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bookmarkEnd w:id="0"/>
    <w:p w:rsidR="00AC5959" w:rsidRDefault="00DD5B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 POLUGODIŠNJEG IZVJEŠTAJA O IZVRŠENJU FINANCIJSKOG PLANA ZA 2026. GODINU</w:t>
      </w:r>
    </w:p>
    <w:p w:rsidR="00AC5959" w:rsidRDefault="00AC595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Pravilnikom o polugodišnjem i godišnjem izvještaju o izvršenju proračuna i financijskog plana propisuje se izgled, sadržaj, obveznici primjene, način i rokovi podnošenja, donošenja i objave polugodišnjeg i godišnjeg izvještaja o izvršenju proračuna i finan</w:t>
      </w:r>
      <w:r>
        <w:rPr>
          <w:rFonts w:ascii="Times New Roman" w:hAnsi="Times New Roman" w:cs="Times New Roman"/>
          <w:sz w:val="24"/>
          <w:szCs w:val="24"/>
        </w:rPr>
        <w:t>cijskog plana. Obrazloženje polugodišnjeg izvještaja o izvršenju financijskog plana sadrži dva dijela, obrazloženje općeg dijela odnosno obrazloženja ostvarenih prihoda i rashoda, primitaka i izdataka u izvještajnom razdoblju te obrazloženja ostvarenog man</w:t>
      </w:r>
      <w:r>
        <w:rPr>
          <w:rFonts w:ascii="Times New Roman" w:hAnsi="Times New Roman" w:cs="Times New Roman"/>
          <w:sz w:val="24"/>
          <w:szCs w:val="24"/>
        </w:rPr>
        <w:t>jka odnosno viška proračuna jedinice lokalne i područne (regionalne) samouprave u izvještajnom razdoblju. Drugi dio obrazloženja odnosi se na obrazloženje posebnog dijela izvještaja koji sadrži obrazloženje izvršenja programa koje se daje kroz obrazloženje</w:t>
      </w:r>
      <w:r>
        <w:rPr>
          <w:rFonts w:ascii="Times New Roman" w:hAnsi="Times New Roman" w:cs="Times New Roman"/>
          <w:sz w:val="24"/>
          <w:szCs w:val="24"/>
        </w:rPr>
        <w:t xml:space="preserve"> izvršenja aktivnosti i projekata zajedno s ciljevima koji su ostvareni provedbom programa i pokazateljima uspješnosti realizacije tih ciljeva koji se sastoje od pokazatelja učinka i pokazatelja rezultata.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OBRAZLOŽENJE OPĆEG DIJELA IZVJEŠTAJA O IZV</w:t>
      </w:r>
      <w:r>
        <w:rPr>
          <w:rFonts w:ascii="Times New Roman" w:hAnsi="Times New Roman" w:cs="Times New Roman"/>
          <w:b/>
          <w:i/>
          <w:sz w:val="24"/>
          <w:szCs w:val="24"/>
        </w:rPr>
        <w:t>RŠENJU PRORAČUNA JEDINICA LOKALNE I PODRUČNE (REGIONALNE) SAMOUPRAVE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Račun prihoda i rashoda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drawing>
          <wp:inline distT="0" distB="0" distL="0" distR="0">
            <wp:extent cx="5760720" cy="285877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prethodno navedenoj tablici sažetka općeg dijela polugodišnjeg izvještaja o izvršenju financijskog plana evidentirana je suma rezultata, odnosno prihoda </w:t>
      </w:r>
      <w:r>
        <w:rPr>
          <w:rFonts w:ascii="Times New Roman" w:hAnsi="Times New Roman" w:cs="Times New Roman"/>
          <w:sz w:val="24"/>
          <w:szCs w:val="24"/>
        </w:rPr>
        <w:t>i rashoda. U prvoj polovici 2026. godine u odnosu na 2025. godinu ostvareno je više prihoda za 9,44% dok je rashoda ostvareno manje za 7,75%. Uzevši u obzir ostvarenje 1.-6. 2026. godine u usporedbi sa tekućim planom za istu godinu vidljivo je kako je ostv</w:t>
      </w:r>
      <w:r>
        <w:rPr>
          <w:rFonts w:ascii="Times New Roman" w:hAnsi="Times New Roman" w:cs="Times New Roman"/>
          <w:sz w:val="24"/>
          <w:szCs w:val="24"/>
        </w:rPr>
        <w:t xml:space="preserve">areno 43,28% manje prihoda odnosno 45,04% manje ukupnih rashoda. U 2026. godini u odnosu na izvršenje u promatranom razdoblju 2025. godine ostvareno je više prihoda zbog povećanja osnovice za izračun plaća zaposlenika pa su samim time plaće bile veće, ali </w:t>
      </w:r>
      <w:r>
        <w:rPr>
          <w:rFonts w:ascii="Times New Roman" w:hAnsi="Times New Roman" w:cs="Times New Roman"/>
          <w:sz w:val="24"/>
          <w:szCs w:val="24"/>
        </w:rPr>
        <w:t>i zbog naplate prošlogodišnjih rashoda u 2026. godini.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Izvještaj o prihodima i rashodima prema izvorima financiranja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 prema izvorima financiranja sadrži prikaz prihoda i rashoda prema izvorima financiranja i iskazuje</w:t>
      </w:r>
      <w:r>
        <w:rPr>
          <w:rFonts w:ascii="Times New Roman" w:hAnsi="Times New Roman" w:cs="Times New Roman"/>
          <w:sz w:val="24"/>
          <w:szCs w:val="24"/>
        </w:rPr>
        <w:t xml:space="preserve"> se prema sljedećem sadržaju: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1: brojčana oznaka i naziv izvora financiranja na razini razreda i skupine izvora financiranja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2: ostvarenje/izvršenje za izvještajno razdoblje prethodne proračunske godine na razini razreda i skupine izvora fina</w:t>
      </w:r>
      <w:r>
        <w:rPr>
          <w:rFonts w:ascii="Times New Roman" w:hAnsi="Times New Roman" w:cs="Times New Roman"/>
          <w:sz w:val="24"/>
          <w:szCs w:val="24"/>
        </w:rPr>
        <w:t>nciranja,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3: izvorni plan za proračunsku godinu na razini razreda i skupine izvora financiranja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4:Tekući plan za proračunsku godinu na razini razreda i skupine izvora financiranja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5: Ostvarenje/izvršenje za izvještajno razdoblje na razini razreda i skupine izvora financiranja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6: Indeks ostvarenja/izvršenja za izvještajno razdoblje u odnosu na ostvarenje/izvršenje prethodne godine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7: Indeks ostvarenja/izvršenja z</w:t>
      </w:r>
      <w:r>
        <w:rPr>
          <w:rFonts w:ascii="Times New Roman" w:hAnsi="Times New Roman" w:cs="Times New Roman"/>
          <w:sz w:val="24"/>
          <w:szCs w:val="24"/>
        </w:rPr>
        <w:t>a izvještajno razdoblje u odnosu na tekući plan za proračunsku godinu.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3078480"/>
            <wp:effectExtent l="0" t="0" r="0" b="762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Promatrajući navedenu tablicu odnosno dio koji se odnosi na prihode vidljivo je kako je najveća razlika u postotku, gledano za prvu polovicu 2026. godine u odnosu na prvu polovicu 202</w:t>
      </w:r>
      <w:r>
        <w:rPr>
          <w:rFonts w:ascii="Times New Roman" w:hAnsi="Times New Roman" w:cs="Times New Roman"/>
          <w:sz w:val="24"/>
          <w:szCs w:val="24"/>
        </w:rPr>
        <w:t xml:space="preserve">5. godine, ostvarena prema izvoru 11 Opći prihodi i primici. Razlog tome je naplata obveza za </w:t>
      </w:r>
      <w:r>
        <w:rPr>
          <w:rFonts w:ascii="Times New Roman" w:hAnsi="Times New Roman" w:cs="Times New Roman"/>
          <w:sz w:val="24"/>
          <w:szCs w:val="24"/>
        </w:rPr>
        <w:lastRenderedPageBreak/>
        <w:t>usluge prijevoznika. Također je evidentiran porast prema izvoru 31 Vlastiti prihodi zbog većeg broja iznajmljivanja školske dvorane fizičkim osobama, ali i inform</w:t>
      </w:r>
      <w:r>
        <w:rPr>
          <w:rFonts w:ascii="Times New Roman" w:hAnsi="Times New Roman" w:cs="Times New Roman"/>
          <w:sz w:val="24"/>
          <w:szCs w:val="24"/>
        </w:rPr>
        <w:t>atičke učionice za obrazovanje pravnim osobama.  U odnosu na tekući plan skoro svi izvori prate manje ostvarenje od planiranog, osim prihoda prema izvoru 31 te izvoru 42. Gledajući rashode za 1.-6.2026. godine u odnosu na isto razdoblje prethodne godine na</w:t>
      </w:r>
      <w:r>
        <w:rPr>
          <w:rFonts w:ascii="Times New Roman" w:hAnsi="Times New Roman" w:cs="Times New Roman"/>
          <w:sz w:val="24"/>
          <w:szCs w:val="24"/>
        </w:rPr>
        <w:t>jveća razlika je zabilježena po rashodima prema izvoru 11. Najveća razlika u odnosu na tekući plan ostvarena je po izvoru 31, ali s negativnim predznakom.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Izvještaj o prihodima i rashodima prema ekonomskoj klasifikaciji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je prikazana tablica koj</w:t>
      </w:r>
      <w:r>
        <w:rPr>
          <w:rFonts w:ascii="Times New Roman" w:hAnsi="Times New Roman" w:cs="Times New Roman"/>
          <w:sz w:val="24"/>
          <w:szCs w:val="24"/>
        </w:rPr>
        <w:t>i sadrži podatke o prihodima i rashodima prema ekonomskoj klasifikaciji. Izvještaj o prihodima i rashodima prema ekonomskoj klasifikaciji sadrži prikaz prihoda i rashoda prema ekonomskoj klasifikaciji i iskazuje se prema sljedećem sadržaju: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1: brojč</w:t>
      </w:r>
      <w:r>
        <w:rPr>
          <w:rFonts w:ascii="Times New Roman" w:hAnsi="Times New Roman" w:cs="Times New Roman"/>
          <w:sz w:val="24"/>
          <w:szCs w:val="24"/>
        </w:rPr>
        <w:t>ana oznaka i naziv računa prihoda i rashoda ekonomske klasifikacije na razini razreda, skupine, podskupine i odjeljka ekonomske klasifikacije,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Stupac 2: ostvarenje/izvršenje za izvještajno razdoblje prethodne proračunske godine na razini razreda, skupine, </w:t>
      </w:r>
      <w:r>
        <w:rPr>
          <w:rFonts w:ascii="Times New Roman" w:hAnsi="Times New Roman" w:cs="Times New Roman"/>
          <w:sz w:val="24"/>
          <w:szCs w:val="24"/>
        </w:rPr>
        <w:t>podskupine i odjeljka ekonomske klasifikacije,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3: izvorni plan za proračunsku godinu na razini razreda i skupine ekonomske klasifikacije,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4: tekući plan za proračunsku godinu na razini razreda i skupine ekonomske klasifikacije,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5: ostv</w:t>
      </w:r>
      <w:r>
        <w:rPr>
          <w:rFonts w:ascii="Times New Roman" w:hAnsi="Times New Roman" w:cs="Times New Roman"/>
          <w:sz w:val="24"/>
          <w:szCs w:val="24"/>
        </w:rPr>
        <w:t>arenje/izvršenje za izvještajno razdoblje na razini razreda, skupine, podskupine i odjeljka ekonomske klasifikacije,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6: indeks ostvarenja7izvršenja za izvještajno razdoblje u odnosu na ostvarenje7izvršenje za izvještajno razdoblje prethodne godine,</w:t>
      </w:r>
    </w:p>
    <w:p w:rsidR="00AC5959" w:rsidRDefault="00DD5B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7: indeks ostvarenja/izvršenja za izvještajno razdoblje u odnosu na tekući plan za proračunsku godinu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noProof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Tablica daje prikaz prihoda i rashoda po kontu, rašlanjene do 4 razine.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4432300"/>
            <wp:effectExtent l="0" t="0" r="0" b="635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45192" cy="3892886"/>
            <wp:effectExtent l="0" t="0" r="8255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92" cy="389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Izvještaj o rashodima prema funkcijskoj klasifikaciji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proofErr w:type="spellStart"/>
      <w:r>
        <w:rPr>
          <w:color w:val="231F20"/>
        </w:rPr>
        <w:t>Izvještaj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rashodima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funkcijskoj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sadrži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prikaz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rashoda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funkcijskoj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iskazuje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prema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sljedećem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sadržaju</w:t>
      </w:r>
      <w:proofErr w:type="spellEnd"/>
      <w:r>
        <w:rPr>
          <w:color w:val="231F20"/>
        </w:rPr>
        <w:t>: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1: </w:t>
      </w:r>
      <w:proofErr w:type="spellStart"/>
      <w:r>
        <w:rPr>
          <w:color w:val="231F20"/>
        </w:rPr>
        <w:t>brojčana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oznaka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naziv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razini</w:t>
      </w:r>
      <w:proofErr w:type="spellEnd"/>
      <w:r>
        <w:rPr>
          <w:color w:val="231F20"/>
        </w:rPr>
        <w:t xml:space="preserve"> razreda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</w:t>
      </w:r>
      <w:r>
        <w:rPr>
          <w:color w:val="231F20"/>
        </w:rPr>
        <w:t>acije</w:t>
      </w:r>
      <w:proofErr w:type="spellEnd"/>
      <w:r>
        <w:rPr>
          <w:color w:val="231F20"/>
        </w:rPr>
        <w:t>,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2: </w:t>
      </w:r>
      <w:proofErr w:type="spellStart"/>
      <w:r>
        <w:rPr>
          <w:color w:val="231F20"/>
        </w:rPr>
        <w:t>izvršenje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izvještajno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razdoblje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prethodne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proračunske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godine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razini</w:t>
      </w:r>
      <w:proofErr w:type="spellEnd"/>
      <w:r>
        <w:rPr>
          <w:color w:val="231F20"/>
        </w:rPr>
        <w:t xml:space="preserve"> razreda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klasifikacije</w:t>
      </w:r>
      <w:proofErr w:type="spellEnd"/>
      <w:r>
        <w:rPr>
          <w:color w:val="231F20"/>
        </w:rPr>
        <w:t>,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3: </w:t>
      </w:r>
      <w:proofErr w:type="spellStart"/>
      <w:r>
        <w:rPr>
          <w:color w:val="231F20"/>
        </w:rPr>
        <w:t>izvorni</w:t>
      </w:r>
      <w:proofErr w:type="spellEnd"/>
      <w:r>
        <w:rPr>
          <w:color w:val="231F20"/>
        </w:rPr>
        <w:t xml:space="preserve"> plan </w:t>
      </w:r>
      <w:proofErr w:type="spellStart"/>
      <w:r>
        <w:rPr>
          <w:color w:val="231F20"/>
        </w:rPr>
        <w:t>odnosno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rebalans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proračunsku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godinu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razini</w:t>
      </w:r>
      <w:proofErr w:type="spellEnd"/>
      <w:r>
        <w:rPr>
          <w:color w:val="231F20"/>
        </w:rPr>
        <w:t xml:space="preserve"> razreda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klasifikacije</w:t>
      </w:r>
      <w:proofErr w:type="spellEnd"/>
      <w:r>
        <w:rPr>
          <w:color w:val="231F20"/>
        </w:rPr>
        <w:t>,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>–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4: </w:t>
      </w:r>
      <w:proofErr w:type="spellStart"/>
      <w:r>
        <w:rPr>
          <w:color w:val="231F20"/>
        </w:rPr>
        <w:t>tekući</w:t>
      </w:r>
      <w:proofErr w:type="spellEnd"/>
      <w:r>
        <w:rPr>
          <w:color w:val="231F20"/>
        </w:rPr>
        <w:t xml:space="preserve"> plan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proračunsku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godinu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razini</w:t>
      </w:r>
      <w:proofErr w:type="spellEnd"/>
      <w:r>
        <w:rPr>
          <w:color w:val="231F20"/>
        </w:rPr>
        <w:t xml:space="preserve"> razreda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klasifikacije</w:t>
      </w:r>
      <w:proofErr w:type="spellEnd"/>
      <w:r>
        <w:rPr>
          <w:color w:val="231F20"/>
        </w:rPr>
        <w:t>,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5: </w:t>
      </w:r>
      <w:proofErr w:type="spellStart"/>
      <w:r>
        <w:rPr>
          <w:color w:val="231F20"/>
        </w:rPr>
        <w:t>izvršenje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izvještajno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razdoblje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razini</w:t>
      </w:r>
      <w:proofErr w:type="spellEnd"/>
      <w:r>
        <w:rPr>
          <w:color w:val="231F20"/>
        </w:rPr>
        <w:t xml:space="preserve"> razreda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funkcijske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klasifikacije</w:t>
      </w:r>
      <w:proofErr w:type="spellEnd"/>
      <w:r>
        <w:rPr>
          <w:color w:val="231F20"/>
        </w:rPr>
        <w:t>,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6: </w:t>
      </w:r>
      <w:proofErr w:type="spellStart"/>
      <w:r>
        <w:rPr>
          <w:color w:val="231F20"/>
        </w:rPr>
        <w:t>indeks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izvršenja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izvještajno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razdoblje</w:t>
      </w:r>
      <w:proofErr w:type="spellEnd"/>
      <w:r>
        <w:rPr>
          <w:color w:val="231F20"/>
        </w:rPr>
        <w:t xml:space="preserve"> u </w:t>
      </w:r>
      <w:proofErr w:type="spellStart"/>
      <w:r>
        <w:rPr>
          <w:color w:val="231F20"/>
        </w:rPr>
        <w:t>odnosu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izvršenje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izvještajno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razdoblje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prethodne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godine</w:t>
      </w:r>
      <w:proofErr w:type="spellEnd"/>
      <w:r>
        <w:rPr>
          <w:color w:val="231F20"/>
        </w:rPr>
        <w:t>,</w:t>
      </w:r>
    </w:p>
    <w:p w:rsidR="00AC5959" w:rsidRDefault="00DD5B16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proofErr w:type="spellStart"/>
      <w:r>
        <w:rPr>
          <w:color w:val="231F20"/>
        </w:rPr>
        <w:t>stupac</w:t>
      </w:r>
      <w:proofErr w:type="spellEnd"/>
      <w:r>
        <w:rPr>
          <w:color w:val="231F20"/>
        </w:rPr>
        <w:t xml:space="preserve"> 7: </w:t>
      </w:r>
      <w:proofErr w:type="spellStart"/>
      <w:r>
        <w:rPr>
          <w:color w:val="231F20"/>
        </w:rPr>
        <w:t>indeks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izvršenja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izvještajno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razdoblje</w:t>
      </w:r>
      <w:proofErr w:type="spellEnd"/>
      <w:r>
        <w:rPr>
          <w:color w:val="231F20"/>
        </w:rPr>
        <w:t xml:space="preserve"> u </w:t>
      </w:r>
      <w:proofErr w:type="spellStart"/>
      <w:r>
        <w:rPr>
          <w:color w:val="231F20"/>
        </w:rPr>
        <w:t>odnosu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tekući</w:t>
      </w:r>
      <w:proofErr w:type="spellEnd"/>
      <w:r>
        <w:rPr>
          <w:color w:val="231F20"/>
        </w:rPr>
        <w:t xml:space="preserve"> plan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proračunsku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godinu</w:t>
      </w:r>
      <w:proofErr w:type="spellEnd"/>
      <w:r>
        <w:rPr>
          <w:color w:val="231F20"/>
        </w:rPr>
        <w:t>.</w:t>
      </w:r>
    </w:p>
    <w:p w:rsidR="00AC5959" w:rsidRDefault="00AC5959">
      <w:pPr>
        <w:pStyle w:val="box474667"/>
        <w:shd w:val="clear" w:color="auto" w:fill="FFFFFF"/>
        <w:spacing w:before="0" w:beforeAutospacing="0" w:after="48" w:afterAutospacing="0" w:line="360" w:lineRule="auto"/>
        <w:ind w:firstLine="408"/>
        <w:textAlignment w:val="baseline"/>
        <w:rPr>
          <w:color w:val="231F20"/>
        </w:rPr>
      </w:pPr>
    </w:p>
    <w:p w:rsidR="00AC5959" w:rsidRDefault="00DD5B16">
      <w:pPr>
        <w:spacing w:line="259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231F20"/>
          <w:sz w:val="24"/>
          <w:szCs w:val="24"/>
          <w:lang w:val="en-US"/>
        </w:rPr>
        <w:drawing>
          <wp:inline distT="0" distB="0" distL="0" distR="0">
            <wp:extent cx="5760720" cy="1068070"/>
            <wp:effectExtent l="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priložene talice vidljivo je kako je u prvoj polovici 2026. godine ostvareno manje ras</w:t>
      </w:r>
      <w:r>
        <w:rPr>
          <w:rFonts w:ascii="Times New Roman" w:hAnsi="Times New Roman" w:cs="Times New Roman"/>
          <w:sz w:val="24"/>
          <w:szCs w:val="24"/>
        </w:rPr>
        <w:t>hoda nego u prvoj polovici 2025. godine glede osnovnoškolskog obrazovanja odnosno obrazovanja, sustava kojem Škola pripada.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DD5B1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OBRAZLOŽENJE POSEBNOG DIJELA IZVJEŠTAJA O IZVRŠENJU PRORAČUNA JEDINICA LOKALNE I PODRUČNE (REGIONALNE) SAMOUPRAVE</w:t>
      </w:r>
    </w:p>
    <w:p w:rsidR="00AC5959" w:rsidRDefault="00AC59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C5959" w:rsidRDefault="00DD5B1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Izvještaj po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programskoj klasifikaciji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po programskoj klasifikaciji sadrži prikaz rashoda i izdataka proračuna iskazanih po organizacijskoj klasifikaciji, izvorima financiranja i ekonomskoj klasifikaciji, raspoređenih u programe koji se sastoje od aktivnosti</w:t>
      </w:r>
      <w:r>
        <w:rPr>
          <w:rFonts w:ascii="Times New Roman" w:hAnsi="Times New Roman" w:cs="Times New Roman"/>
          <w:sz w:val="24"/>
          <w:szCs w:val="24"/>
        </w:rPr>
        <w:t xml:space="preserve"> i projekata i iskazuje se prema sljedećem sadržaju: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Stupac 1: Brojčana oznaka računa rashoda/izdatka financiranja za koje se proračun planira, 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2: Naziv organizacijske klasifikacije na kojoj se proračun planira odnosno izvršava, izvora financiranja</w:t>
      </w:r>
      <w:r>
        <w:rPr>
          <w:rFonts w:ascii="Times New Roman" w:hAnsi="Times New Roman" w:cs="Times New Roman"/>
          <w:sz w:val="24"/>
          <w:szCs w:val="24"/>
        </w:rPr>
        <w:t>, glavnog programa državnog proračuna, programa, aktivnosti i projekata te računa ekonomske klasifikacije na razini skupine i odjeljka,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3: Izvorni plan za proračunsku godinu na razini skupine ekonomske klasifikacije,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4: Tekući plan za proračunsku godinu na razini skupine i odjeljka ekonomske klasifikacije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5: Izvršenje za izvještajno razdoblje na razini skupine i odjeljka ekonomske klasifikacije,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Stupac 5: Indeks izvršenja za izvještajno razdoblje u odnosu</w:t>
      </w:r>
      <w:r>
        <w:rPr>
          <w:rFonts w:ascii="Times New Roman" w:hAnsi="Times New Roman" w:cs="Times New Roman"/>
          <w:sz w:val="24"/>
          <w:szCs w:val="24"/>
        </w:rPr>
        <w:t xml:space="preserve"> na tekući plan za proračunsku godinunu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tablici koja se nalazi u excell-u,a koja se odnosi na izvještaj po programskoj klasifikaciji evidentirani su rashodi prema planu i izvršenju za tekuće polugodišnje razdoblje sa raspoređenim iznosima za svaku pozic</w:t>
      </w:r>
      <w:r>
        <w:rPr>
          <w:rFonts w:ascii="Times New Roman" w:hAnsi="Times New Roman" w:cs="Times New Roman"/>
          <w:sz w:val="24"/>
          <w:szCs w:val="24"/>
        </w:rPr>
        <w:t xml:space="preserve">iju prema </w:t>
      </w:r>
      <w:r>
        <w:rPr>
          <w:rFonts w:ascii="Times New Roman" w:hAnsi="Times New Roman" w:cs="Times New Roman"/>
          <w:b/>
          <w:i/>
          <w:sz w:val="24"/>
          <w:szCs w:val="24"/>
        </w:rPr>
        <w:t>Programu 2202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Osnovno školstvo – standard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i/>
          <w:sz w:val="24"/>
          <w:szCs w:val="24"/>
        </w:rPr>
        <w:t>Programu 2203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i/>
          <w:sz w:val="24"/>
          <w:szCs w:val="24"/>
        </w:rPr>
        <w:t>Osnovno školstvo – iznad standarda</w:t>
      </w:r>
      <w:r>
        <w:rPr>
          <w:rFonts w:ascii="Times New Roman" w:hAnsi="Times New Roman" w:cs="Times New Roman"/>
          <w:sz w:val="24"/>
          <w:szCs w:val="24"/>
        </w:rPr>
        <w:t>. Ukupno izvršenje rashoda u odnosu na plan sa izmjenama i dopunama manje je za 45,04%.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Gračacu, 16.07.2026. godine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računovodstva: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</w:t>
      </w:r>
    </w:p>
    <w:p w:rsidR="00AC5959" w:rsidRDefault="00DD5B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Antonela Miletić, mag.oec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Slavica Miočić, dipl.ing.</w:t>
      </w:r>
    </w:p>
    <w:p w:rsidR="00AC5959" w:rsidRDefault="00AC5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9" w:rsidRDefault="00AC5959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sectPr w:rsidR="00AC5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57802"/>
    <w:multiLevelType w:val="multilevel"/>
    <w:tmpl w:val="8B828322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59"/>
    <w:rsid w:val="00AC5959"/>
    <w:rsid w:val="00DD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038F2D-855F-4849-874D-81BA23F8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box474667">
    <w:name w:val="box_474667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1">
    <w:name w:val="xl71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2">
    <w:name w:val="xl72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3">
    <w:name w:val="xl73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4">
    <w:name w:val="xl74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5">
    <w:name w:val="xl75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6">
    <w:name w:val="xl76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92">
    <w:name w:val="xl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94">
    <w:name w:val="xl94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01">
    <w:name w:val="xl101"/>
    <w:basedOn w:val="Normal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02">
    <w:name w:val="xl102"/>
    <w:basedOn w:val="Normal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03">
    <w:name w:val="xl103"/>
    <w:basedOn w:val="Normal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104">
    <w:name w:val="xl104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07">
    <w:name w:val="xl107"/>
    <w:basedOn w:val="Normal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08">
    <w:name w:val="xl108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09">
    <w:name w:val="xl109"/>
    <w:basedOn w:val="Normal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13">
    <w:name w:val="xl11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14">
    <w:name w:val="xl11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17">
    <w:name w:val="xl117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18">
    <w:name w:val="xl118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9">
    <w:name w:val="xl119"/>
    <w:basedOn w:val="Normal"/>
    <w:pPr>
      <w:pBdr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20">
    <w:name w:val="xl120"/>
    <w:basedOn w:val="Normal"/>
    <w:pPr>
      <w:pBdr>
        <w:lef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21">
    <w:name w:val="xl121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2">
    <w:name w:val="xl122"/>
    <w:basedOn w:val="Normal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23">
    <w:name w:val="xl123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28">
    <w:name w:val="xl128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29">
    <w:name w:val="xl129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30">
    <w:name w:val="xl130"/>
    <w:basedOn w:val="Normal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34">
    <w:name w:val="xl1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35">
    <w:name w:val="xl1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44">
    <w:name w:val="xl1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45">
    <w:name w:val="xl1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47">
    <w:name w:val="xl147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48">
    <w:name w:val="xl148"/>
    <w:basedOn w:val="Normal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49">
    <w:name w:val="xl149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50">
    <w:name w:val="xl150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51">
    <w:name w:val="xl151"/>
    <w:basedOn w:val="Normal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52">
    <w:name w:val="xl152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53">
    <w:name w:val="xl153"/>
    <w:basedOn w:val="Normal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54">
    <w:name w:val="xl154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56">
    <w:name w:val="xl1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57">
    <w:name w:val="xl1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59">
    <w:name w:val="xl1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0">
    <w:name w:val="xl160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1">
    <w:name w:val="xl16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62">
    <w:name w:val="xl162"/>
    <w:basedOn w:val="Normal"/>
    <w:pPr>
      <w:pBdr>
        <w:bottom w:val="single" w:sz="4" w:space="0" w:color="B2B2B2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xl163">
    <w:name w:val="xl163"/>
    <w:basedOn w:val="Normal"/>
    <w:pPr>
      <w:pBdr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64">
    <w:name w:val="xl164"/>
    <w:basedOn w:val="Normal"/>
    <w:pPr>
      <w:pBdr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65">
    <w:name w:val="xl165"/>
    <w:basedOn w:val="Normal"/>
    <w:pPr>
      <w:pBdr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8">
    <w:name w:val="xl1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70">
    <w:name w:val="xl1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71">
    <w:name w:val="xl1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2">
    <w:name w:val="xl172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79">
    <w:name w:val="xl179"/>
    <w:basedOn w:val="Normal"/>
    <w:pP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4">
    <w:name w:val="xl184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86">
    <w:name w:val="xl186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val="en-US"/>
    </w:rPr>
  </w:style>
  <w:style w:type="paragraph" w:customStyle="1" w:styleId="xl187">
    <w:name w:val="xl187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customStyle="1" w:styleId="xl188">
    <w:name w:val="xl188"/>
    <w:basedOn w:val="Normal"/>
    <w:pPr>
      <w:pBdr>
        <w:left w:val="single" w:sz="4" w:space="0" w:color="B2B2B2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/>
    </w:rPr>
  </w:style>
  <w:style w:type="paragraph" w:customStyle="1" w:styleId="xl189">
    <w:name w:val="xl189"/>
    <w:basedOn w:val="Normal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/>
    </w:rPr>
  </w:style>
  <w:style w:type="paragraph" w:customStyle="1" w:styleId="xl190">
    <w:name w:val="xl190"/>
    <w:basedOn w:val="Normal"/>
    <w:pPr>
      <w:pBdr>
        <w:left w:val="single" w:sz="4" w:space="0" w:color="B2B2B2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91">
    <w:name w:val="xl191"/>
    <w:basedOn w:val="Normal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92">
    <w:name w:val="xl192"/>
    <w:basedOn w:val="Normal"/>
    <w:pPr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93">
    <w:name w:val="xl193"/>
    <w:basedOn w:val="Normal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94">
    <w:name w:val="xl194"/>
    <w:basedOn w:val="Normal"/>
    <w:pPr>
      <w:pBdr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95">
    <w:name w:val="xl195"/>
    <w:basedOn w:val="Normal"/>
    <w:pPr>
      <w:pBdr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96">
    <w:name w:val="xl196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197">
    <w:name w:val="xl197"/>
    <w:basedOn w:val="Normal"/>
    <w:pPr>
      <w:pBdr>
        <w:top w:val="single" w:sz="4" w:space="0" w:color="B2B2B2"/>
        <w:left w:val="single" w:sz="4" w:space="0" w:color="B2B2B2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/>
    </w:rPr>
  </w:style>
  <w:style w:type="paragraph" w:customStyle="1" w:styleId="xl198">
    <w:name w:val="xl198"/>
    <w:basedOn w:val="Normal"/>
    <w:pPr>
      <w:pBdr>
        <w:top w:val="single" w:sz="4" w:space="0" w:color="B2B2B2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0">
    <w:name w:val="xl20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2">
    <w:name w:val="xl20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3">
    <w:name w:val="xl203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val="en-US"/>
    </w:rPr>
  </w:style>
  <w:style w:type="paragraph" w:customStyle="1" w:styleId="xl204">
    <w:name w:val="xl204"/>
    <w:basedOn w:val="Normal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customStyle="1" w:styleId="xl205">
    <w:name w:val="xl205"/>
    <w:basedOn w:val="Normal"/>
    <w:pPr>
      <w:pBdr>
        <w:top w:val="single" w:sz="4" w:space="0" w:color="B2B2B2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xl206">
    <w:name w:val="xl206"/>
    <w:basedOn w:val="Normal"/>
    <w:pPr>
      <w:pBdr>
        <w:top w:val="single" w:sz="4" w:space="0" w:color="B2B2B2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Miletić</dc:creator>
  <cp:keywords/>
  <dc:description/>
  <cp:lastModifiedBy>User</cp:lastModifiedBy>
  <cp:revision>2</cp:revision>
  <cp:lastPrinted>2025-07-10T07:36:00Z</cp:lastPrinted>
  <dcterms:created xsi:type="dcterms:W3CDTF">2026-07-31T09:26:00Z</dcterms:created>
  <dcterms:modified xsi:type="dcterms:W3CDTF">2026-07-31T09:26:00Z</dcterms:modified>
</cp:coreProperties>
</file>